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131A" w14:textId="00F9440E" w:rsidR="00B309C7" w:rsidRPr="005A46E1" w:rsidRDefault="00B309C7" w:rsidP="008F793E">
      <w:pPr>
        <w:jc w:val="center"/>
        <w:rPr>
          <w:b/>
          <w:sz w:val="28"/>
          <w:szCs w:val="28"/>
          <w:u w:val="single"/>
        </w:rPr>
      </w:pPr>
      <w:r w:rsidRPr="005A46E1">
        <w:rPr>
          <w:b/>
          <w:sz w:val="28"/>
          <w:szCs w:val="28"/>
          <w:u w:val="single"/>
        </w:rPr>
        <w:t>Operational Readiness for</w:t>
      </w:r>
      <w:r w:rsidR="0027180E" w:rsidRPr="005A46E1">
        <w:rPr>
          <w:b/>
          <w:sz w:val="28"/>
          <w:szCs w:val="28"/>
          <w:u w:val="single"/>
        </w:rPr>
        <w:t xml:space="preserve"> the</w:t>
      </w:r>
      <w:r w:rsidRPr="005A46E1">
        <w:rPr>
          <w:b/>
          <w:sz w:val="28"/>
          <w:szCs w:val="28"/>
          <w:u w:val="single"/>
        </w:rPr>
        <w:t xml:space="preserve"> IFRC Secretariat</w:t>
      </w:r>
    </w:p>
    <w:p w14:paraId="31B3BD83" w14:textId="77777777" w:rsidR="00B309C7" w:rsidRPr="005A46E1" w:rsidRDefault="00B309C7" w:rsidP="008F793E">
      <w:pPr>
        <w:rPr>
          <w:b/>
          <w:sz w:val="24"/>
          <w:szCs w:val="24"/>
        </w:rPr>
      </w:pPr>
      <w:r w:rsidRPr="005A46E1">
        <w:rPr>
          <w:b/>
          <w:sz w:val="24"/>
          <w:szCs w:val="24"/>
        </w:rPr>
        <w:t>Introduction:</w:t>
      </w:r>
    </w:p>
    <w:p w14:paraId="577A2819" w14:textId="0A0C1D0A" w:rsidR="00B309C7" w:rsidRPr="005A46E1" w:rsidRDefault="00B309C7" w:rsidP="001449F0">
      <w:pPr>
        <w:jc w:val="both"/>
        <w:rPr>
          <w:sz w:val="20"/>
          <w:szCs w:val="20"/>
          <w:u w:val="single"/>
        </w:rPr>
      </w:pPr>
      <w:r w:rsidRPr="005A46E1">
        <w:rPr>
          <w:b/>
          <w:sz w:val="20"/>
          <w:szCs w:val="20"/>
          <w:u w:val="single"/>
        </w:rPr>
        <w:t>Operational</w:t>
      </w:r>
      <w:r w:rsidRPr="005A46E1">
        <w:rPr>
          <w:sz w:val="20"/>
          <w:szCs w:val="20"/>
          <w:u w:val="single"/>
        </w:rPr>
        <w:t xml:space="preserve"> </w:t>
      </w:r>
      <w:r w:rsidRPr="005A46E1">
        <w:rPr>
          <w:b/>
          <w:sz w:val="20"/>
          <w:szCs w:val="20"/>
          <w:u w:val="single"/>
        </w:rPr>
        <w:t>Readiness</w:t>
      </w:r>
      <w:r w:rsidRPr="005A46E1">
        <w:rPr>
          <w:sz w:val="20"/>
          <w:szCs w:val="20"/>
          <w:u w:val="single"/>
        </w:rPr>
        <w:t xml:space="preserve"> is the ability to activate existing processes and procedures to act quickly and appropriately before, during and after an emergency in support of the National Society</w:t>
      </w:r>
      <w:r w:rsidR="004D6999">
        <w:rPr>
          <w:sz w:val="20"/>
          <w:szCs w:val="20"/>
          <w:u w:val="single"/>
        </w:rPr>
        <w:t xml:space="preserve"> in the country</w:t>
      </w:r>
      <w:r w:rsidRPr="005A46E1">
        <w:rPr>
          <w:sz w:val="20"/>
          <w:szCs w:val="20"/>
          <w:u w:val="single"/>
        </w:rPr>
        <w:t xml:space="preserve"> (NS).  </w:t>
      </w:r>
    </w:p>
    <w:p w14:paraId="73181DB5" w14:textId="4E91A703" w:rsidR="00A2691A" w:rsidRDefault="0027180E" w:rsidP="001449F0">
      <w:pPr>
        <w:jc w:val="both"/>
        <w:rPr>
          <w:sz w:val="20"/>
          <w:szCs w:val="20"/>
        </w:rPr>
      </w:pPr>
      <w:r w:rsidRPr="005A46E1">
        <w:rPr>
          <w:sz w:val="20"/>
          <w:szCs w:val="20"/>
        </w:rPr>
        <w:t>This document contains</w:t>
      </w:r>
      <w:r w:rsidR="00F73CE5" w:rsidRPr="005A46E1">
        <w:rPr>
          <w:sz w:val="20"/>
          <w:szCs w:val="20"/>
        </w:rPr>
        <w:t xml:space="preserve"> a</w:t>
      </w:r>
      <w:r w:rsidR="00B309C7" w:rsidRPr="005A46E1">
        <w:rPr>
          <w:sz w:val="20"/>
          <w:szCs w:val="20"/>
        </w:rPr>
        <w:t xml:space="preserve"> checklist outlin</w:t>
      </w:r>
      <w:r w:rsidR="00F73CE5" w:rsidRPr="005A46E1">
        <w:rPr>
          <w:sz w:val="20"/>
          <w:szCs w:val="20"/>
        </w:rPr>
        <w:t>ing</w:t>
      </w:r>
      <w:r w:rsidR="00B309C7" w:rsidRPr="005A46E1">
        <w:rPr>
          <w:sz w:val="20"/>
          <w:szCs w:val="20"/>
        </w:rPr>
        <w:t xml:space="preserve"> activities and information needed by our </w:t>
      </w:r>
      <w:r w:rsidR="00B309C7" w:rsidRPr="005A46E1">
        <w:rPr>
          <w:b/>
          <w:sz w:val="20"/>
          <w:szCs w:val="20"/>
        </w:rPr>
        <w:t>Delegations</w:t>
      </w:r>
      <w:r w:rsidR="00B309C7" w:rsidRPr="005A46E1">
        <w:rPr>
          <w:sz w:val="20"/>
          <w:szCs w:val="20"/>
        </w:rPr>
        <w:t xml:space="preserve"> </w:t>
      </w:r>
      <w:r w:rsidR="00F73CE5" w:rsidRPr="005A46E1">
        <w:rPr>
          <w:sz w:val="20"/>
          <w:szCs w:val="20"/>
        </w:rPr>
        <w:t>(Country Delegations</w:t>
      </w:r>
      <w:r w:rsidR="0042571F">
        <w:rPr>
          <w:sz w:val="20"/>
          <w:szCs w:val="20"/>
        </w:rPr>
        <w:t xml:space="preserve"> (CD)</w:t>
      </w:r>
      <w:r w:rsidR="00F73CE5" w:rsidRPr="005A46E1">
        <w:rPr>
          <w:sz w:val="20"/>
          <w:szCs w:val="20"/>
        </w:rPr>
        <w:t xml:space="preserve"> or Country Cluster Delegations</w:t>
      </w:r>
      <w:r w:rsidR="0042571F">
        <w:rPr>
          <w:sz w:val="20"/>
          <w:szCs w:val="20"/>
        </w:rPr>
        <w:t xml:space="preserve"> (CCD)</w:t>
      </w:r>
      <w:r w:rsidR="00F8083A">
        <w:rPr>
          <w:sz w:val="20"/>
          <w:szCs w:val="20"/>
        </w:rPr>
        <w:t>)</w:t>
      </w:r>
      <w:r w:rsidR="00F73CE5" w:rsidRPr="005A46E1">
        <w:rPr>
          <w:sz w:val="20"/>
          <w:szCs w:val="20"/>
        </w:rPr>
        <w:t xml:space="preserve"> </w:t>
      </w:r>
      <w:r w:rsidR="00B309C7" w:rsidRPr="005A46E1">
        <w:rPr>
          <w:sz w:val="20"/>
          <w:szCs w:val="20"/>
        </w:rPr>
        <w:t xml:space="preserve">to increase IFRC secretariat readiness for an emergency operation (yellow, </w:t>
      </w:r>
      <w:r w:rsidR="000E3878" w:rsidRPr="005A46E1">
        <w:rPr>
          <w:sz w:val="20"/>
          <w:szCs w:val="20"/>
        </w:rPr>
        <w:t>orange,</w:t>
      </w:r>
      <w:r w:rsidR="00B309C7" w:rsidRPr="005A46E1">
        <w:rPr>
          <w:sz w:val="20"/>
          <w:szCs w:val="20"/>
        </w:rPr>
        <w:t xml:space="preserve"> or red)</w:t>
      </w:r>
      <w:r w:rsidR="00F73CE5" w:rsidRPr="005A46E1">
        <w:rPr>
          <w:sz w:val="20"/>
          <w:szCs w:val="20"/>
        </w:rPr>
        <w:t xml:space="preserve">. The readiness activities are </w:t>
      </w:r>
      <w:proofErr w:type="spellStart"/>
      <w:r w:rsidR="00F73CE5" w:rsidRPr="005A46E1">
        <w:rPr>
          <w:sz w:val="20"/>
          <w:szCs w:val="20"/>
        </w:rPr>
        <w:t>organised</w:t>
      </w:r>
      <w:proofErr w:type="spellEnd"/>
      <w:r w:rsidR="00F73CE5" w:rsidRPr="005A46E1">
        <w:rPr>
          <w:sz w:val="20"/>
          <w:szCs w:val="20"/>
        </w:rPr>
        <w:t xml:space="preserve"> into subject areas with </w:t>
      </w:r>
      <w:r w:rsidR="00F73CE5" w:rsidRPr="005A46E1">
        <w:rPr>
          <w:b/>
          <w:sz w:val="20"/>
          <w:szCs w:val="20"/>
        </w:rPr>
        <w:t>highlighted activities denoting level 1 basic readiness activities</w:t>
      </w:r>
      <w:r w:rsidR="00F73CE5" w:rsidRPr="00E229AC">
        <w:rPr>
          <w:b/>
          <w:sz w:val="20"/>
          <w:szCs w:val="20"/>
          <w:u w:val="single"/>
        </w:rPr>
        <w:t xml:space="preserve"> required in all offices</w:t>
      </w:r>
      <w:r w:rsidR="00F73CE5" w:rsidRPr="005A46E1">
        <w:rPr>
          <w:b/>
          <w:sz w:val="20"/>
          <w:szCs w:val="20"/>
        </w:rPr>
        <w:t>.</w:t>
      </w:r>
      <w:r w:rsidR="00F73CE5" w:rsidRPr="005A46E1">
        <w:rPr>
          <w:sz w:val="20"/>
          <w:szCs w:val="20"/>
        </w:rPr>
        <w:t xml:space="preserve"> </w:t>
      </w:r>
    </w:p>
    <w:p w14:paraId="2ADB6A8F" w14:textId="77777777" w:rsidR="00A2691A" w:rsidRDefault="00A72504" w:rsidP="001449F0">
      <w:pPr>
        <w:jc w:val="both"/>
        <w:rPr>
          <w:b/>
          <w:bCs/>
          <w:sz w:val="20"/>
          <w:szCs w:val="20"/>
        </w:rPr>
      </w:pPr>
      <w:r w:rsidRPr="00E229AC">
        <w:rPr>
          <w:sz w:val="20"/>
          <w:szCs w:val="20"/>
          <w:u w:val="single"/>
        </w:rPr>
        <w:t xml:space="preserve">Delegations should go beyond the basic readiness tasks, </w:t>
      </w:r>
      <w:r w:rsidR="00B629AC" w:rsidRPr="00E229AC">
        <w:rPr>
          <w:b/>
          <w:sz w:val="20"/>
          <w:szCs w:val="20"/>
          <w:u w:val="single"/>
        </w:rPr>
        <w:t>especially</w:t>
      </w:r>
      <w:r w:rsidRPr="00E229AC">
        <w:rPr>
          <w:b/>
          <w:sz w:val="20"/>
          <w:szCs w:val="20"/>
          <w:u w:val="single"/>
        </w:rPr>
        <w:t xml:space="preserve"> Delegations</w:t>
      </w:r>
      <w:r w:rsidR="008F793E" w:rsidRPr="00E229AC">
        <w:rPr>
          <w:b/>
          <w:sz w:val="20"/>
          <w:szCs w:val="20"/>
          <w:u w:val="single"/>
        </w:rPr>
        <w:t xml:space="preserve"> </w:t>
      </w:r>
      <w:r w:rsidR="00B629AC" w:rsidRPr="00E229AC">
        <w:rPr>
          <w:b/>
          <w:bCs/>
          <w:sz w:val="20"/>
          <w:szCs w:val="20"/>
          <w:u w:val="single"/>
        </w:rPr>
        <w:t>in countries</w:t>
      </w:r>
      <w:r w:rsidR="00A2691A">
        <w:rPr>
          <w:b/>
          <w:bCs/>
          <w:sz w:val="20"/>
          <w:szCs w:val="20"/>
        </w:rPr>
        <w:t>:</w:t>
      </w:r>
    </w:p>
    <w:p w14:paraId="67F67465" w14:textId="74DC3A4E" w:rsidR="00A2691A" w:rsidRPr="00A2691A" w:rsidRDefault="00A72504" w:rsidP="00A2691A">
      <w:pPr>
        <w:pStyle w:val="ListParagraph"/>
        <w:numPr>
          <w:ilvl w:val="0"/>
          <w:numId w:val="25"/>
        </w:numPr>
        <w:jc w:val="both"/>
        <w:rPr>
          <w:sz w:val="20"/>
          <w:szCs w:val="20"/>
        </w:rPr>
      </w:pPr>
      <w:r w:rsidRPr="00A2691A">
        <w:rPr>
          <w:b/>
          <w:bCs/>
          <w:sz w:val="20"/>
          <w:szCs w:val="20"/>
        </w:rPr>
        <w:t>that experience frequent disasters or crises</w:t>
      </w:r>
      <w:r w:rsidR="008F793E" w:rsidRPr="00A2691A">
        <w:rPr>
          <w:b/>
          <w:bCs/>
          <w:sz w:val="20"/>
          <w:szCs w:val="20"/>
        </w:rPr>
        <w:t>, or</w:t>
      </w:r>
      <w:r w:rsidR="00B629AC" w:rsidRPr="00A2691A">
        <w:rPr>
          <w:b/>
          <w:bCs/>
          <w:sz w:val="20"/>
          <w:szCs w:val="20"/>
        </w:rPr>
        <w:t xml:space="preserve"> </w:t>
      </w:r>
    </w:p>
    <w:p w14:paraId="6792FAFB" w14:textId="5D7250EA" w:rsidR="00A2691A" w:rsidRPr="00A2691A" w:rsidRDefault="00A72504" w:rsidP="00A2691A">
      <w:pPr>
        <w:pStyle w:val="ListParagraph"/>
        <w:numPr>
          <w:ilvl w:val="0"/>
          <w:numId w:val="25"/>
        </w:numPr>
        <w:jc w:val="both"/>
        <w:rPr>
          <w:sz w:val="20"/>
          <w:szCs w:val="20"/>
        </w:rPr>
      </w:pPr>
      <w:r w:rsidRPr="00A2691A">
        <w:rPr>
          <w:b/>
          <w:bCs/>
          <w:sz w:val="20"/>
          <w:szCs w:val="20"/>
        </w:rPr>
        <w:t>where the N</w:t>
      </w:r>
      <w:r w:rsidR="00A2691A">
        <w:rPr>
          <w:b/>
          <w:bCs/>
          <w:sz w:val="20"/>
          <w:szCs w:val="20"/>
        </w:rPr>
        <w:t xml:space="preserve">ational </w:t>
      </w:r>
      <w:r w:rsidRPr="00A2691A">
        <w:rPr>
          <w:b/>
          <w:bCs/>
          <w:sz w:val="20"/>
          <w:szCs w:val="20"/>
        </w:rPr>
        <w:t>S</w:t>
      </w:r>
      <w:r w:rsidR="00A2691A">
        <w:rPr>
          <w:b/>
          <w:bCs/>
          <w:sz w:val="20"/>
          <w:szCs w:val="20"/>
        </w:rPr>
        <w:t>ociety in the country (NS)</w:t>
      </w:r>
      <w:r w:rsidRPr="00A2691A">
        <w:rPr>
          <w:b/>
          <w:bCs/>
          <w:sz w:val="20"/>
          <w:szCs w:val="20"/>
        </w:rPr>
        <w:t xml:space="preserve"> has a low level of </w:t>
      </w:r>
      <w:r w:rsidR="00B629AC" w:rsidRPr="00A2691A">
        <w:rPr>
          <w:b/>
          <w:bCs/>
          <w:sz w:val="20"/>
          <w:szCs w:val="20"/>
        </w:rPr>
        <w:t>operational</w:t>
      </w:r>
      <w:r w:rsidR="00BA4C8F">
        <w:rPr>
          <w:b/>
          <w:bCs/>
          <w:sz w:val="20"/>
          <w:szCs w:val="20"/>
        </w:rPr>
        <w:t xml:space="preserve"> capacity or operational</w:t>
      </w:r>
      <w:r w:rsidR="00B629AC" w:rsidRPr="00A2691A">
        <w:rPr>
          <w:b/>
          <w:bCs/>
          <w:sz w:val="20"/>
          <w:szCs w:val="20"/>
        </w:rPr>
        <w:t xml:space="preserve"> </w:t>
      </w:r>
      <w:r w:rsidRPr="00A2691A">
        <w:rPr>
          <w:b/>
          <w:bCs/>
          <w:sz w:val="20"/>
          <w:szCs w:val="20"/>
        </w:rPr>
        <w:t>readiness</w:t>
      </w:r>
      <w:r w:rsidR="00A2691A">
        <w:rPr>
          <w:rStyle w:val="EndnoteReference"/>
          <w:b/>
          <w:bCs/>
          <w:sz w:val="20"/>
          <w:szCs w:val="20"/>
        </w:rPr>
        <w:endnoteReference w:id="2"/>
      </w:r>
      <w:r w:rsidR="008F793E" w:rsidRPr="00A2691A">
        <w:rPr>
          <w:b/>
          <w:bCs/>
          <w:sz w:val="20"/>
          <w:szCs w:val="20"/>
        </w:rPr>
        <w:t>, or</w:t>
      </w:r>
      <w:r w:rsidR="00B629AC" w:rsidRPr="00A2691A">
        <w:rPr>
          <w:b/>
          <w:bCs/>
          <w:sz w:val="20"/>
          <w:szCs w:val="20"/>
        </w:rPr>
        <w:t xml:space="preserve"> </w:t>
      </w:r>
    </w:p>
    <w:p w14:paraId="216A0576" w14:textId="6A095628" w:rsidR="00A2691A" w:rsidRDefault="00A2691A" w:rsidP="00A2691A">
      <w:pPr>
        <w:pStyle w:val="ListParagraph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where the </w:t>
      </w:r>
      <w:r w:rsidR="00D72D1F">
        <w:rPr>
          <w:b/>
          <w:bCs/>
          <w:sz w:val="20"/>
          <w:szCs w:val="20"/>
        </w:rPr>
        <w:t>delegation</w:t>
      </w:r>
      <w:r>
        <w:rPr>
          <w:b/>
          <w:bCs/>
          <w:sz w:val="20"/>
          <w:szCs w:val="20"/>
        </w:rPr>
        <w:t xml:space="preserve"> has</w:t>
      </w:r>
      <w:r w:rsidR="004C1A0B">
        <w:rPr>
          <w:b/>
          <w:bCs/>
          <w:sz w:val="20"/>
          <w:szCs w:val="20"/>
        </w:rPr>
        <w:t xml:space="preserve"> the</w:t>
      </w:r>
      <w:r w:rsidR="00F73CE5" w:rsidRPr="00A2691A">
        <w:rPr>
          <w:b/>
          <w:bCs/>
          <w:sz w:val="20"/>
          <w:szCs w:val="20"/>
        </w:rPr>
        <w:t xml:space="preserve"> capacity</w:t>
      </w:r>
      <w:r w:rsidR="00B629AC" w:rsidRPr="00A2691A">
        <w:rPr>
          <w:b/>
          <w:bCs/>
          <w:sz w:val="20"/>
          <w:szCs w:val="20"/>
        </w:rPr>
        <w:t xml:space="preserve"> </w:t>
      </w:r>
      <w:r w:rsidR="00F73CE5" w:rsidRPr="00A2691A">
        <w:rPr>
          <w:b/>
          <w:bCs/>
          <w:sz w:val="20"/>
          <w:szCs w:val="20"/>
        </w:rPr>
        <w:t>for</w:t>
      </w:r>
      <w:r w:rsidR="004C1A0B">
        <w:rPr>
          <w:b/>
          <w:bCs/>
          <w:sz w:val="20"/>
          <w:szCs w:val="20"/>
        </w:rPr>
        <w:t xml:space="preserve"> further</w:t>
      </w:r>
      <w:r w:rsidR="00F73CE5" w:rsidRPr="00A2691A">
        <w:rPr>
          <w:b/>
          <w:bCs/>
          <w:sz w:val="20"/>
          <w:szCs w:val="20"/>
        </w:rPr>
        <w:t xml:space="preserve"> readiness activities</w:t>
      </w:r>
      <w:r w:rsidR="00684521" w:rsidRPr="00A2691A">
        <w:rPr>
          <w:sz w:val="20"/>
          <w:szCs w:val="20"/>
        </w:rPr>
        <w:t>.</w:t>
      </w:r>
      <w:r w:rsidR="004C1A0B">
        <w:rPr>
          <w:rStyle w:val="EndnoteReference"/>
          <w:sz w:val="20"/>
          <w:szCs w:val="20"/>
        </w:rPr>
        <w:endnoteReference w:id="3"/>
      </w:r>
    </w:p>
    <w:p w14:paraId="7B0B469B" w14:textId="7D6932E3" w:rsidR="003A62A7" w:rsidRDefault="008D2321" w:rsidP="001449F0">
      <w:pPr>
        <w:jc w:val="both"/>
        <w:rPr>
          <w:sz w:val="20"/>
          <w:szCs w:val="20"/>
        </w:rPr>
      </w:pPr>
      <w:r>
        <w:rPr>
          <w:sz w:val="20"/>
          <w:szCs w:val="20"/>
        </w:rPr>
        <w:t>As IFRC offices are of different sizes and capacities, a low level of Operational Readiness</w:t>
      </w:r>
      <w:r w:rsidR="00153D60">
        <w:rPr>
          <w:sz w:val="20"/>
          <w:szCs w:val="20"/>
        </w:rPr>
        <w:t xml:space="preserve"> signifies that greater support is needed (from CCD</w:t>
      </w:r>
      <w:r w:rsidR="00D16569">
        <w:rPr>
          <w:sz w:val="20"/>
          <w:szCs w:val="20"/>
        </w:rPr>
        <w:t xml:space="preserve">, Regional Office or </w:t>
      </w:r>
      <w:r w:rsidR="005327B5">
        <w:rPr>
          <w:sz w:val="20"/>
          <w:szCs w:val="20"/>
        </w:rPr>
        <w:t>Headquarters</w:t>
      </w:r>
      <w:r w:rsidR="00D16569">
        <w:rPr>
          <w:sz w:val="20"/>
          <w:szCs w:val="20"/>
        </w:rPr>
        <w:t xml:space="preserve">.)  Not all activities listed below will be relevant for every office.  The aim is to use this document </w:t>
      </w:r>
      <w:r w:rsidR="00BC326A">
        <w:rPr>
          <w:sz w:val="20"/>
          <w:szCs w:val="20"/>
        </w:rPr>
        <w:t>flexibly, focusing on the activities that are relevant</w:t>
      </w:r>
      <w:r w:rsidR="00D16569">
        <w:rPr>
          <w:sz w:val="20"/>
          <w:szCs w:val="20"/>
        </w:rPr>
        <w:t xml:space="preserve"> in the </w:t>
      </w:r>
      <w:proofErr w:type="gramStart"/>
      <w:r w:rsidR="00D16569">
        <w:rPr>
          <w:sz w:val="20"/>
          <w:szCs w:val="20"/>
        </w:rPr>
        <w:t>particular context</w:t>
      </w:r>
      <w:proofErr w:type="gramEnd"/>
      <w:r w:rsidR="003A62A7">
        <w:rPr>
          <w:sz w:val="20"/>
          <w:szCs w:val="20"/>
        </w:rPr>
        <w:t>.</w:t>
      </w:r>
    </w:p>
    <w:p w14:paraId="1673F8DA" w14:textId="77777777" w:rsidR="000D2AA9" w:rsidRDefault="00B309C7" w:rsidP="000D2AA9">
      <w:pPr>
        <w:jc w:val="both"/>
        <w:rPr>
          <w:sz w:val="20"/>
          <w:szCs w:val="20"/>
        </w:rPr>
      </w:pPr>
      <w:r w:rsidRPr="005A46E1">
        <w:rPr>
          <w:sz w:val="20"/>
          <w:szCs w:val="20"/>
        </w:rPr>
        <w:t xml:space="preserve">As some readiness activities are set out in other documents, </w:t>
      </w:r>
      <w:r w:rsidRPr="005A46E1">
        <w:rPr>
          <w:b/>
          <w:bCs/>
          <w:sz w:val="20"/>
          <w:szCs w:val="20"/>
        </w:rPr>
        <w:t>Part 1</w:t>
      </w:r>
      <w:r w:rsidRPr="005A46E1">
        <w:rPr>
          <w:sz w:val="20"/>
          <w:szCs w:val="20"/>
        </w:rPr>
        <w:t xml:space="preserve"> contains a list of </w:t>
      </w:r>
      <w:r w:rsidR="00F0512A">
        <w:rPr>
          <w:sz w:val="20"/>
          <w:szCs w:val="20"/>
        </w:rPr>
        <w:t xml:space="preserve">management </w:t>
      </w:r>
      <w:r w:rsidRPr="005A46E1">
        <w:rPr>
          <w:sz w:val="20"/>
          <w:szCs w:val="20"/>
        </w:rPr>
        <w:t xml:space="preserve">pre-conditions to remind delegations of actions that should already be in place. </w:t>
      </w:r>
      <w:r w:rsidR="00684521" w:rsidRPr="005A46E1">
        <w:rPr>
          <w:b/>
          <w:bCs/>
          <w:sz w:val="20"/>
          <w:szCs w:val="20"/>
        </w:rPr>
        <w:t>Part 2</w:t>
      </w:r>
      <w:r w:rsidR="00684521" w:rsidRPr="005A46E1">
        <w:rPr>
          <w:sz w:val="20"/>
          <w:szCs w:val="20"/>
        </w:rPr>
        <w:t xml:space="preserve"> contains readiness activities at the Delegation level, </w:t>
      </w:r>
      <w:r w:rsidR="00684521" w:rsidRPr="005A46E1">
        <w:rPr>
          <w:b/>
          <w:bCs/>
          <w:sz w:val="20"/>
          <w:szCs w:val="20"/>
        </w:rPr>
        <w:t>Part 3</w:t>
      </w:r>
      <w:r w:rsidR="00684521" w:rsidRPr="005A46E1">
        <w:rPr>
          <w:sz w:val="20"/>
          <w:szCs w:val="20"/>
        </w:rPr>
        <w:t xml:space="preserve"> </w:t>
      </w:r>
      <w:r w:rsidR="001C6963">
        <w:rPr>
          <w:sz w:val="20"/>
          <w:szCs w:val="20"/>
        </w:rPr>
        <w:t>will in future contain</w:t>
      </w:r>
      <w:r w:rsidR="008F793E" w:rsidRPr="005A46E1">
        <w:rPr>
          <w:sz w:val="20"/>
          <w:szCs w:val="20"/>
        </w:rPr>
        <w:t xml:space="preserve"> supporting </w:t>
      </w:r>
      <w:r w:rsidR="00684521" w:rsidRPr="005A46E1">
        <w:rPr>
          <w:sz w:val="20"/>
          <w:szCs w:val="20"/>
        </w:rPr>
        <w:t xml:space="preserve">readiness activities at the </w:t>
      </w:r>
      <w:r w:rsidR="008F793E" w:rsidRPr="005A46E1">
        <w:rPr>
          <w:sz w:val="20"/>
          <w:szCs w:val="20"/>
        </w:rPr>
        <w:t>Regional</w:t>
      </w:r>
      <w:r w:rsidR="00684521" w:rsidRPr="005A46E1">
        <w:rPr>
          <w:sz w:val="20"/>
          <w:szCs w:val="20"/>
        </w:rPr>
        <w:t xml:space="preserve"> Office level and </w:t>
      </w:r>
      <w:r w:rsidR="00684521" w:rsidRPr="005A46E1">
        <w:rPr>
          <w:b/>
          <w:bCs/>
          <w:sz w:val="20"/>
          <w:szCs w:val="20"/>
        </w:rPr>
        <w:t>Part 4</w:t>
      </w:r>
      <w:r w:rsidR="00684521" w:rsidRPr="005A46E1">
        <w:rPr>
          <w:sz w:val="20"/>
          <w:szCs w:val="20"/>
        </w:rPr>
        <w:t xml:space="preserve"> </w:t>
      </w:r>
      <w:r w:rsidR="001C6963">
        <w:rPr>
          <w:sz w:val="20"/>
          <w:szCs w:val="20"/>
        </w:rPr>
        <w:t>will be</w:t>
      </w:r>
      <w:r w:rsidR="00684521" w:rsidRPr="005A46E1">
        <w:rPr>
          <w:sz w:val="20"/>
          <w:szCs w:val="20"/>
        </w:rPr>
        <w:t xml:space="preserve"> readiness activities at </w:t>
      </w:r>
      <w:r w:rsidR="008F793E" w:rsidRPr="005A46E1">
        <w:rPr>
          <w:sz w:val="20"/>
          <w:szCs w:val="20"/>
        </w:rPr>
        <w:t>Geneva</w:t>
      </w:r>
      <w:r w:rsidR="00684521" w:rsidRPr="005A46E1">
        <w:rPr>
          <w:sz w:val="20"/>
          <w:szCs w:val="20"/>
        </w:rPr>
        <w:t xml:space="preserve"> Headquarters.</w:t>
      </w:r>
    </w:p>
    <w:p w14:paraId="7F7BE1FA" w14:textId="77777777" w:rsidR="000D2AA9" w:rsidRDefault="000D2AA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F20C0AD" w14:textId="7A1E825B" w:rsidR="000E368E" w:rsidRPr="000D2AA9" w:rsidRDefault="00B309C7" w:rsidP="000D2AA9">
      <w:pPr>
        <w:jc w:val="both"/>
        <w:rPr>
          <w:sz w:val="20"/>
          <w:szCs w:val="20"/>
        </w:rPr>
      </w:pPr>
      <w:r w:rsidRPr="005A46E1">
        <w:rPr>
          <w:b/>
          <w:sz w:val="24"/>
          <w:szCs w:val="24"/>
        </w:rPr>
        <w:lastRenderedPageBreak/>
        <w:t xml:space="preserve">Part 1: </w:t>
      </w:r>
      <w:r w:rsidR="008512DF">
        <w:rPr>
          <w:b/>
          <w:sz w:val="24"/>
          <w:szCs w:val="24"/>
        </w:rPr>
        <w:t>P</w:t>
      </w:r>
      <w:r w:rsidRPr="005A46E1">
        <w:rPr>
          <w:b/>
          <w:sz w:val="24"/>
          <w:szCs w:val="24"/>
        </w:rPr>
        <w:t>re-conditions for all Delegations</w:t>
      </w:r>
      <w:r w:rsidR="000E368E" w:rsidRPr="006932BE">
        <w:rPr>
          <w:b/>
          <w:sz w:val="20"/>
          <w:szCs w:val="20"/>
        </w:rPr>
        <w:t xml:space="preserve"> </w:t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8789"/>
        <w:gridCol w:w="850"/>
        <w:gridCol w:w="2693"/>
      </w:tblGrid>
      <w:tr w:rsidR="00F70599" w:rsidRPr="00530B76" w14:paraId="57E594E7" w14:textId="189E6DE8" w:rsidTr="00F804BD">
        <w:tc>
          <w:tcPr>
            <w:tcW w:w="3119" w:type="dxa"/>
            <w:shd w:val="clear" w:color="auto" w:fill="E7E6E6" w:themeFill="background2"/>
          </w:tcPr>
          <w:p w14:paraId="1BA6F894" w14:textId="77777777" w:rsidR="00F70599" w:rsidRPr="006932BE" w:rsidRDefault="00F70599">
            <w:pPr>
              <w:rPr>
                <w:b/>
                <w:sz w:val="20"/>
                <w:szCs w:val="20"/>
              </w:rPr>
            </w:pPr>
            <w:r w:rsidRPr="006932B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8789" w:type="dxa"/>
            <w:shd w:val="clear" w:color="auto" w:fill="E7E6E6" w:themeFill="background2"/>
          </w:tcPr>
          <w:p w14:paraId="6F9B1483" w14:textId="77777777" w:rsidR="00F70599" w:rsidRPr="006932BE" w:rsidRDefault="00F70599">
            <w:pPr>
              <w:rPr>
                <w:b/>
                <w:sz w:val="20"/>
                <w:szCs w:val="20"/>
              </w:rPr>
            </w:pPr>
            <w:r w:rsidRPr="006932BE">
              <w:rPr>
                <w:b/>
                <w:sz w:val="20"/>
                <w:szCs w:val="20"/>
              </w:rPr>
              <w:t>Readiness Actions</w:t>
            </w:r>
          </w:p>
        </w:tc>
        <w:tc>
          <w:tcPr>
            <w:tcW w:w="850" w:type="dxa"/>
            <w:shd w:val="clear" w:color="auto" w:fill="E7E6E6" w:themeFill="background2"/>
          </w:tcPr>
          <w:p w14:paraId="2B6EE21F" w14:textId="77777777" w:rsidR="00F70599" w:rsidRPr="006932BE" w:rsidRDefault="00F70599">
            <w:pPr>
              <w:rPr>
                <w:b/>
                <w:sz w:val="20"/>
                <w:szCs w:val="20"/>
              </w:rPr>
            </w:pPr>
            <w:r w:rsidRPr="006932BE">
              <w:rPr>
                <w:b/>
                <w:sz w:val="20"/>
                <w:szCs w:val="20"/>
              </w:rPr>
              <w:t>Done?</w:t>
            </w:r>
          </w:p>
        </w:tc>
        <w:tc>
          <w:tcPr>
            <w:tcW w:w="2693" w:type="dxa"/>
            <w:shd w:val="clear" w:color="auto" w:fill="E7E6E6" w:themeFill="background2"/>
          </w:tcPr>
          <w:p w14:paraId="10EB1A5A" w14:textId="5E1ADB2F" w:rsidR="00F70599" w:rsidRPr="006932BE" w:rsidRDefault="00F705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F70599" w:rsidRPr="00530B76" w14:paraId="2CA72751" w14:textId="265EA399" w:rsidTr="00F804BD">
        <w:tc>
          <w:tcPr>
            <w:tcW w:w="3119" w:type="dxa"/>
          </w:tcPr>
          <w:p w14:paraId="1D8E535D" w14:textId="14557E08" w:rsidR="00F70599" w:rsidRPr="006932BE" w:rsidRDefault="00F70599">
            <w:p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Opening </w:t>
            </w:r>
            <w:r w:rsidR="004C1A0B">
              <w:rPr>
                <w:sz w:val="20"/>
                <w:szCs w:val="20"/>
              </w:rPr>
              <w:t xml:space="preserve">an </w:t>
            </w:r>
            <w:r w:rsidRPr="006932BE">
              <w:rPr>
                <w:sz w:val="20"/>
                <w:szCs w:val="20"/>
              </w:rPr>
              <w:t>Office</w:t>
            </w:r>
          </w:p>
        </w:tc>
        <w:tc>
          <w:tcPr>
            <w:tcW w:w="8789" w:type="dxa"/>
            <w:shd w:val="clear" w:color="auto" w:fill="FFFF00"/>
          </w:tcPr>
          <w:p w14:paraId="1D01FDC1" w14:textId="1916D690" w:rsidR="00F70599" w:rsidRPr="008F793E" w:rsidRDefault="00F70599" w:rsidP="008F793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The delegation complies with the requirements for opening an IFRC office.</w:t>
            </w:r>
            <w:r>
              <w:rPr>
                <w:rStyle w:val="EndnoteReference"/>
                <w:sz w:val="20"/>
                <w:szCs w:val="20"/>
              </w:rPr>
              <w:endnoteReference w:id="4"/>
            </w:r>
          </w:p>
        </w:tc>
        <w:sdt>
          <w:sdtPr>
            <w:rPr>
              <w:sz w:val="20"/>
              <w:szCs w:val="20"/>
            </w:rPr>
            <w:id w:val="11117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7070A642" w14:textId="77777777" w:rsidR="00F70599" w:rsidRPr="006932BE" w:rsidRDefault="00F70599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17B6E134" w14:textId="77777777" w:rsidR="00F70599" w:rsidRDefault="00F70599">
            <w:pPr>
              <w:rPr>
                <w:sz w:val="20"/>
                <w:szCs w:val="20"/>
              </w:rPr>
            </w:pPr>
          </w:p>
        </w:tc>
      </w:tr>
      <w:tr w:rsidR="00F70599" w:rsidRPr="00530B76" w14:paraId="5198FAE5" w14:textId="5DEA3958" w:rsidTr="00F804BD">
        <w:tc>
          <w:tcPr>
            <w:tcW w:w="3119" w:type="dxa"/>
          </w:tcPr>
          <w:p w14:paraId="239C1349" w14:textId="77777777" w:rsidR="00F70599" w:rsidRPr="006932BE" w:rsidRDefault="00F70599">
            <w:p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Duty of Care</w:t>
            </w:r>
          </w:p>
        </w:tc>
        <w:tc>
          <w:tcPr>
            <w:tcW w:w="8789" w:type="dxa"/>
            <w:shd w:val="clear" w:color="auto" w:fill="FFFF00"/>
          </w:tcPr>
          <w:p w14:paraId="56E28CE1" w14:textId="152EC251" w:rsidR="00F70599" w:rsidRPr="008F793E" w:rsidRDefault="00F70599" w:rsidP="008F793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There is an up-to-date list of personnel, dependents, integrated NS staff and visitors, their contact details (including address</w:t>
            </w:r>
            <w:r w:rsidR="00A15869">
              <w:rPr>
                <w:sz w:val="20"/>
                <w:szCs w:val="20"/>
              </w:rPr>
              <w:t>/ GPS coordinates</w:t>
            </w:r>
            <w:r w:rsidRPr="006932BE">
              <w:rPr>
                <w:sz w:val="20"/>
                <w:szCs w:val="20"/>
              </w:rPr>
              <w:t xml:space="preserve"> and health insurance).</w:t>
            </w:r>
            <w:r>
              <w:rPr>
                <w:rStyle w:val="EndnoteReference"/>
                <w:sz w:val="20"/>
                <w:szCs w:val="20"/>
              </w:rPr>
              <w:endnoteReference w:id="5"/>
            </w:r>
          </w:p>
        </w:tc>
        <w:sdt>
          <w:sdtPr>
            <w:rPr>
              <w:sz w:val="20"/>
              <w:szCs w:val="20"/>
            </w:rPr>
            <w:id w:val="-23085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4C436C27" w14:textId="77777777" w:rsidR="00F70599" w:rsidRPr="006932BE" w:rsidRDefault="00F70599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7DA6BA4F" w14:textId="77777777" w:rsidR="00F70599" w:rsidRDefault="00F70599">
            <w:pPr>
              <w:rPr>
                <w:sz w:val="20"/>
                <w:szCs w:val="20"/>
              </w:rPr>
            </w:pPr>
          </w:p>
        </w:tc>
      </w:tr>
      <w:tr w:rsidR="00F70599" w:rsidRPr="00530B76" w14:paraId="111122A8" w14:textId="004664A3" w:rsidTr="00F804BD">
        <w:tc>
          <w:tcPr>
            <w:tcW w:w="3119" w:type="dxa"/>
          </w:tcPr>
          <w:p w14:paraId="74DDFE27" w14:textId="77777777" w:rsidR="00F70599" w:rsidRPr="006932BE" w:rsidRDefault="00F70599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63075497" w14:textId="78E032CA" w:rsidR="00F70599" w:rsidRPr="008F793E" w:rsidRDefault="00F70599" w:rsidP="008F793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A</w:t>
            </w:r>
            <w:r w:rsidR="00CF1F9C">
              <w:rPr>
                <w:sz w:val="20"/>
                <w:szCs w:val="20"/>
              </w:rPr>
              <w:t xml:space="preserve">n instant </w:t>
            </w:r>
            <w:r w:rsidR="00CC70E0">
              <w:rPr>
                <w:sz w:val="20"/>
                <w:szCs w:val="20"/>
              </w:rPr>
              <w:t>mobile messaging</w:t>
            </w:r>
            <w:r w:rsidRPr="006932BE">
              <w:rPr>
                <w:sz w:val="20"/>
                <w:szCs w:val="20"/>
              </w:rPr>
              <w:t xml:space="preserve"> communication channel has been established (e.g. Signal or WhatsApp) for significant events.</w:t>
            </w:r>
          </w:p>
        </w:tc>
        <w:sdt>
          <w:sdtPr>
            <w:rPr>
              <w:sz w:val="20"/>
              <w:szCs w:val="20"/>
            </w:rPr>
            <w:id w:val="-20487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2B44FFAC" w14:textId="77777777" w:rsidR="00F70599" w:rsidRPr="006932BE" w:rsidRDefault="00F70599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278F5F1D" w14:textId="77777777" w:rsidR="00F70599" w:rsidRDefault="00F70599">
            <w:pPr>
              <w:rPr>
                <w:sz w:val="20"/>
                <w:szCs w:val="20"/>
              </w:rPr>
            </w:pPr>
          </w:p>
        </w:tc>
      </w:tr>
      <w:tr w:rsidR="00F70599" w:rsidRPr="00530B76" w14:paraId="5F0849B6" w14:textId="4240A138" w:rsidTr="00F804BD">
        <w:tc>
          <w:tcPr>
            <w:tcW w:w="3119" w:type="dxa"/>
          </w:tcPr>
          <w:p w14:paraId="596B5136" w14:textId="77777777" w:rsidR="00F70599" w:rsidRPr="006932BE" w:rsidRDefault="00F70599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6B8CCBD0" w14:textId="2F04E2D4" w:rsidR="00F70599" w:rsidRPr="008F793E" w:rsidRDefault="00F70599" w:rsidP="008F793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Appropriate medical facilities have been identified in case of a medical issue.</w:t>
            </w:r>
          </w:p>
        </w:tc>
        <w:sdt>
          <w:sdtPr>
            <w:rPr>
              <w:sz w:val="20"/>
              <w:szCs w:val="20"/>
            </w:rPr>
            <w:id w:val="-194708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1373DD95" w14:textId="77777777" w:rsidR="00F70599" w:rsidRPr="006932BE" w:rsidRDefault="00F70599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4475C6B9" w14:textId="77777777" w:rsidR="00F70599" w:rsidRDefault="00F70599">
            <w:pPr>
              <w:rPr>
                <w:sz w:val="20"/>
                <w:szCs w:val="20"/>
              </w:rPr>
            </w:pPr>
          </w:p>
        </w:tc>
      </w:tr>
      <w:tr w:rsidR="00F70599" w:rsidRPr="00530B76" w14:paraId="12DA5D1C" w14:textId="755577D4" w:rsidTr="00F804BD">
        <w:tc>
          <w:tcPr>
            <w:tcW w:w="3119" w:type="dxa"/>
          </w:tcPr>
          <w:p w14:paraId="5C00A7E1" w14:textId="5A813533" w:rsidR="00F70599" w:rsidRPr="006932BE" w:rsidRDefault="00985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</w:t>
            </w:r>
          </w:p>
        </w:tc>
        <w:tc>
          <w:tcPr>
            <w:tcW w:w="8789" w:type="dxa"/>
            <w:shd w:val="clear" w:color="auto" w:fill="FFFF00"/>
          </w:tcPr>
          <w:p w14:paraId="34A413F9" w14:textId="7DB39396" w:rsidR="00F70599" w:rsidRPr="008F793E" w:rsidRDefault="00F70599" w:rsidP="008F793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The delegation complies with the Minimum-Security Requirements (MSR) for IFRC offices, including producing regularly updated Security Regulations and Delegation Contingency Plans.</w:t>
            </w:r>
            <w:r>
              <w:rPr>
                <w:rStyle w:val="EndnoteReference"/>
                <w:sz w:val="20"/>
                <w:szCs w:val="20"/>
              </w:rPr>
              <w:endnoteReference w:id="6"/>
            </w:r>
          </w:p>
        </w:tc>
        <w:sdt>
          <w:sdtPr>
            <w:rPr>
              <w:sz w:val="20"/>
              <w:szCs w:val="20"/>
            </w:rPr>
            <w:id w:val="22296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159F144C" w14:textId="77777777" w:rsidR="00F70599" w:rsidRPr="006932BE" w:rsidRDefault="00F70599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6AE2EAF0" w14:textId="77777777" w:rsidR="00F70599" w:rsidRDefault="00F70599">
            <w:pPr>
              <w:rPr>
                <w:sz w:val="20"/>
                <w:szCs w:val="20"/>
              </w:rPr>
            </w:pPr>
          </w:p>
        </w:tc>
      </w:tr>
      <w:tr w:rsidR="00917AD6" w:rsidRPr="00530B76" w14:paraId="14DBA1F4" w14:textId="77777777" w:rsidTr="00F804BD">
        <w:tc>
          <w:tcPr>
            <w:tcW w:w="3119" w:type="dxa"/>
          </w:tcPr>
          <w:p w14:paraId="7BA7B78E" w14:textId="1A1BA766" w:rsidR="00917AD6" w:rsidRDefault="00917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579F0">
              <w:rPr>
                <w:sz w:val="20"/>
                <w:szCs w:val="20"/>
              </w:rPr>
              <w:t>nformation Technology</w:t>
            </w:r>
          </w:p>
        </w:tc>
        <w:tc>
          <w:tcPr>
            <w:tcW w:w="8789" w:type="dxa"/>
            <w:shd w:val="clear" w:color="auto" w:fill="FFFF00"/>
          </w:tcPr>
          <w:p w14:paraId="6C39B42D" w14:textId="3C2CAC30" w:rsidR="00917AD6" w:rsidRPr="006932BE" w:rsidRDefault="00917AD6" w:rsidP="008F793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delegation has access to satellite phones and has a plan</w:t>
            </w:r>
            <w:r w:rsidR="00AC7DAA">
              <w:rPr>
                <w:sz w:val="20"/>
                <w:szCs w:val="20"/>
              </w:rPr>
              <w:t xml:space="preserve"> for emergency communications.</w:t>
            </w:r>
          </w:p>
        </w:tc>
        <w:sdt>
          <w:sdtPr>
            <w:rPr>
              <w:sz w:val="20"/>
              <w:szCs w:val="20"/>
            </w:rPr>
            <w:id w:val="101411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7CC20A45" w14:textId="020E488B" w:rsidR="00917AD6" w:rsidRDefault="000579F0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3B10F6DF" w14:textId="77777777" w:rsidR="00917AD6" w:rsidRDefault="00917AD6">
            <w:pPr>
              <w:rPr>
                <w:sz w:val="20"/>
                <w:szCs w:val="20"/>
              </w:rPr>
            </w:pPr>
          </w:p>
        </w:tc>
      </w:tr>
      <w:tr w:rsidR="00F70599" w:rsidRPr="00530B76" w14:paraId="4E237ED8" w14:textId="1E5BDAD2" w:rsidTr="00F804BD">
        <w:tc>
          <w:tcPr>
            <w:tcW w:w="3119" w:type="dxa"/>
          </w:tcPr>
          <w:p w14:paraId="5E32C92C" w14:textId="754F3581" w:rsidR="00F70599" w:rsidRPr="006932BE" w:rsidRDefault="00A26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Continuity</w:t>
            </w:r>
          </w:p>
        </w:tc>
        <w:tc>
          <w:tcPr>
            <w:tcW w:w="8789" w:type="dxa"/>
            <w:shd w:val="clear" w:color="auto" w:fill="FFFF00"/>
          </w:tcPr>
          <w:p w14:paraId="3FC8A881" w14:textId="701E7225" w:rsidR="00F70599" w:rsidRPr="008F793E" w:rsidRDefault="00F70599" w:rsidP="008F793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The delegation has a Business Continuity Plan.</w:t>
            </w:r>
            <w:r>
              <w:rPr>
                <w:rStyle w:val="EndnoteReference"/>
                <w:sz w:val="20"/>
                <w:szCs w:val="20"/>
              </w:rPr>
              <w:endnoteReference w:id="7"/>
            </w:r>
          </w:p>
        </w:tc>
        <w:sdt>
          <w:sdtPr>
            <w:rPr>
              <w:sz w:val="20"/>
              <w:szCs w:val="20"/>
            </w:rPr>
            <w:id w:val="-166863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0FF53CA0" w14:textId="77777777" w:rsidR="00F70599" w:rsidRPr="006932BE" w:rsidRDefault="00F70599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44E677D7" w14:textId="77777777" w:rsidR="00F70599" w:rsidRDefault="00F70599">
            <w:pPr>
              <w:rPr>
                <w:sz w:val="20"/>
                <w:szCs w:val="20"/>
              </w:rPr>
            </w:pPr>
          </w:p>
        </w:tc>
      </w:tr>
      <w:tr w:rsidR="00F70599" w:rsidRPr="00530B76" w14:paraId="4E22EC1A" w14:textId="58904CDE" w:rsidTr="00F804BD">
        <w:tc>
          <w:tcPr>
            <w:tcW w:w="3119" w:type="dxa"/>
          </w:tcPr>
          <w:p w14:paraId="42C61191" w14:textId="1C9F233A" w:rsidR="00F70599" w:rsidRPr="006932BE" w:rsidRDefault="00A2691A">
            <w:p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Risk Management</w:t>
            </w:r>
          </w:p>
        </w:tc>
        <w:tc>
          <w:tcPr>
            <w:tcW w:w="8789" w:type="dxa"/>
            <w:shd w:val="clear" w:color="auto" w:fill="FFFF00"/>
          </w:tcPr>
          <w:p w14:paraId="6CAAD9CD" w14:textId="08229505" w:rsidR="00F70599" w:rsidRPr="008F793E" w:rsidRDefault="00F70599" w:rsidP="008F793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The delegation has developed a</w:t>
            </w:r>
            <w:r w:rsidR="00D2797B">
              <w:rPr>
                <w:sz w:val="20"/>
                <w:szCs w:val="20"/>
              </w:rPr>
              <w:t xml:space="preserve"> risk management plan and</w:t>
            </w:r>
            <w:r w:rsidRPr="006932BE">
              <w:rPr>
                <w:sz w:val="20"/>
                <w:szCs w:val="20"/>
              </w:rPr>
              <w:t xml:space="preserve"> risk register</w:t>
            </w:r>
            <w:r w:rsidR="001250B7">
              <w:rPr>
                <w:sz w:val="20"/>
                <w:szCs w:val="20"/>
              </w:rPr>
              <w:t xml:space="preserve">- see </w:t>
            </w:r>
            <w:r w:rsidR="001250B7" w:rsidRPr="001250B7">
              <w:rPr>
                <w:sz w:val="20"/>
                <w:szCs w:val="20"/>
              </w:rPr>
              <w:t xml:space="preserve"> </w:t>
            </w:r>
            <w:hyperlink r:id="rId11" w:history="1">
              <w:r w:rsidR="001250B7" w:rsidRPr="001250B7">
                <w:rPr>
                  <w:rStyle w:val="Hyperlink"/>
                  <w:sz w:val="20"/>
                  <w:szCs w:val="20"/>
                </w:rPr>
                <w:t>IFRC Risk Management Policy</w:t>
              </w:r>
            </w:hyperlink>
          </w:p>
        </w:tc>
        <w:sdt>
          <w:sdtPr>
            <w:rPr>
              <w:sz w:val="20"/>
              <w:szCs w:val="20"/>
            </w:rPr>
            <w:id w:val="65010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71726F40" w14:textId="77777777" w:rsidR="00F70599" w:rsidRPr="006932BE" w:rsidRDefault="00F70599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32E1D1B7" w14:textId="77777777" w:rsidR="00F70599" w:rsidRDefault="00F70599">
            <w:pPr>
              <w:rPr>
                <w:sz w:val="20"/>
                <w:szCs w:val="20"/>
              </w:rPr>
            </w:pPr>
          </w:p>
        </w:tc>
      </w:tr>
      <w:tr w:rsidR="00F70599" w:rsidRPr="00530B76" w14:paraId="74C935B8" w14:textId="1C3736FE" w:rsidTr="00F804BD">
        <w:tc>
          <w:tcPr>
            <w:tcW w:w="3119" w:type="dxa"/>
          </w:tcPr>
          <w:p w14:paraId="2CC8730B" w14:textId="77777777" w:rsidR="00F70599" w:rsidRPr="006932BE" w:rsidRDefault="00F70599">
            <w:pPr>
              <w:rPr>
                <w:sz w:val="20"/>
                <w:szCs w:val="20"/>
              </w:rPr>
            </w:pPr>
            <w:bookmarkStart w:id="0" w:name="_Hlk145584682"/>
            <w:r w:rsidRPr="006932BE">
              <w:rPr>
                <w:sz w:val="20"/>
                <w:szCs w:val="20"/>
              </w:rPr>
              <w:t>Knowledge of IFRC Policies and Procedures</w:t>
            </w:r>
          </w:p>
        </w:tc>
        <w:tc>
          <w:tcPr>
            <w:tcW w:w="8789" w:type="dxa"/>
            <w:shd w:val="clear" w:color="auto" w:fill="FFFF00"/>
          </w:tcPr>
          <w:p w14:paraId="20F23F6B" w14:textId="62C26A9D" w:rsidR="00F70599" w:rsidRPr="006932BE" w:rsidRDefault="00F70599" w:rsidP="00B309C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The </w:t>
            </w:r>
            <w:proofErr w:type="spellStart"/>
            <w:r w:rsidRPr="006932BE">
              <w:rPr>
                <w:sz w:val="20"/>
                <w:szCs w:val="20"/>
              </w:rPr>
              <w:t>HoD</w:t>
            </w:r>
            <w:proofErr w:type="spellEnd"/>
            <w:r w:rsidRPr="006932BE">
              <w:rPr>
                <w:sz w:val="20"/>
                <w:szCs w:val="20"/>
              </w:rPr>
              <w:t xml:space="preserve"> is aware of</w:t>
            </w:r>
            <w:r w:rsidR="00C953FB" w:rsidRPr="006932BE">
              <w:rPr>
                <w:sz w:val="20"/>
                <w:szCs w:val="20"/>
              </w:rPr>
              <w:t xml:space="preserve"> key IFRC policies and procedures</w:t>
            </w:r>
            <w:r w:rsidR="00642626">
              <w:rPr>
                <w:sz w:val="20"/>
                <w:szCs w:val="20"/>
              </w:rPr>
              <w:t>-</w:t>
            </w:r>
            <w:r w:rsidRPr="006932BE">
              <w:rPr>
                <w:sz w:val="20"/>
                <w:szCs w:val="20"/>
              </w:rPr>
              <w:t xml:space="preserve"> </w:t>
            </w:r>
            <w:r w:rsidR="00642626">
              <w:rPr>
                <w:sz w:val="20"/>
                <w:szCs w:val="20"/>
              </w:rPr>
              <w:t>see</w:t>
            </w:r>
            <w:r w:rsidRPr="006932BE">
              <w:rPr>
                <w:sz w:val="20"/>
                <w:szCs w:val="20"/>
              </w:rPr>
              <w:t xml:space="preserve"> </w:t>
            </w:r>
            <w:hyperlink r:id="rId12" w:history="1">
              <w:r w:rsidRPr="006932BE">
                <w:rPr>
                  <w:color w:val="0000FF"/>
                  <w:sz w:val="20"/>
                  <w:szCs w:val="20"/>
                  <w:u w:val="single"/>
                </w:rPr>
                <w:t xml:space="preserve">IFRC Management Compendium </w:t>
              </w:r>
            </w:hyperlink>
            <w:r w:rsidRPr="006932BE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9104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0877BE39" w14:textId="77777777" w:rsidR="00F70599" w:rsidRPr="006932BE" w:rsidRDefault="00F70599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0D457C21" w14:textId="77777777" w:rsidR="00F70599" w:rsidRDefault="00F70599">
            <w:pPr>
              <w:rPr>
                <w:sz w:val="20"/>
                <w:szCs w:val="20"/>
              </w:rPr>
            </w:pPr>
          </w:p>
        </w:tc>
      </w:tr>
      <w:bookmarkEnd w:id="0"/>
    </w:tbl>
    <w:p w14:paraId="37C37E43" w14:textId="77777777" w:rsidR="00F804BD" w:rsidRDefault="00F804BD" w:rsidP="00285611">
      <w:pPr>
        <w:rPr>
          <w:b/>
          <w:sz w:val="24"/>
          <w:szCs w:val="24"/>
        </w:rPr>
      </w:pPr>
    </w:p>
    <w:p w14:paraId="594290BD" w14:textId="71467A01" w:rsidR="00D40D30" w:rsidRPr="000E368E" w:rsidRDefault="00B309C7" w:rsidP="00285611">
      <w:pPr>
        <w:rPr>
          <w:b/>
          <w:sz w:val="24"/>
          <w:szCs w:val="24"/>
        </w:rPr>
      </w:pPr>
      <w:r w:rsidRPr="005A46E1">
        <w:rPr>
          <w:b/>
          <w:sz w:val="24"/>
          <w:szCs w:val="24"/>
        </w:rPr>
        <w:t>Part 2: Operational Readiness for IFRC Delegation</w:t>
      </w:r>
      <w:r w:rsidR="005A46E1" w:rsidRPr="005A46E1">
        <w:rPr>
          <w:b/>
          <w:sz w:val="24"/>
          <w:szCs w:val="24"/>
        </w:rPr>
        <w:t>s</w:t>
      </w:r>
    </w:p>
    <w:tbl>
      <w:tblPr>
        <w:tblStyle w:val="TableGrid"/>
        <w:tblW w:w="15446" w:type="dxa"/>
        <w:tblInd w:w="-746" w:type="dxa"/>
        <w:tblLayout w:type="fixed"/>
        <w:tblLook w:val="04A0" w:firstRow="1" w:lastRow="0" w:firstColumn="1" w:lastColumn="0" w:noHBand="0" w:noVBand="1"/>
      </w:tblPr>
      <w:tblGrid>
        <w:gridCol w:w="3151"/>
        <w:gridCol w:w="8789"/>
        <w:gridCol w:w="850"/>
        <w:gridCol w:w="2656"/>
      </w:tblGrid>
      <w:tr w:rsidR="00FC1B2C" w:rsidRPr="006932BE" w14:paraId="096A4A2F" w14:textId="0F9D8D31" w:rsidTr="00D74319">
        <w:tc>
          <w:tcPr>
            <w:tcW w:w="3151" w:type="dxa"/>
            <w:shd w:val="clear" w:color="auto" w:fill="E7E6E6" w:themeFill="background2"/>
          </w:tcPr>
          <w:p w14:paraId="63EE516A" w14:textId="4F8431F1" w:rsidR="00FC1B2C" w:rsidRPr="006932BE" w:rsidRDefault="00FC1B2C">
            <w:pPr>
              <w:rPr>
                <w:b/>
                <w:sz w:val="20"/>
                <w:szCs w:val="20"/>
              </w:rPr>
            </w:pPr>
            <w:r w:rsidRPr="006932B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8789" w:type="dxa"/>
            <w:shd w:val="clear" w:color="auto" w:fill="E7E6E6" w:themeFill="background2"/>
          </w:tcPr>
          <w:p w14:paraId="48B631F7" w14:textId="50CD1910" w:rsidR="00FC1B2C" w:rsidRPr="006932BE" w:rsidRDefault="00FC1B2C">
            <w:pPr>
              <w:rPr>
                <w:b/>
                <w:sz w:val="20"/>
                <w:szCs w:val="20"/>
              </w:rPr>
            </w:pPr>
            <w:r w:rsidRPr="006932BE">
              <w:rPr>
                <w:b/>
                <w:sz w:val="20"/>
                <w:szCs w:val="20"/>
              </w:rPr>
              <w:t>Readiness Actions</w:t>
            </w:r>
          </w:p>
        </w:tc>
        <w:tc>
          <w:tcPr>
            <w:tcW w:w="850" w:type="dxa"/>
            <w:shd w:val="clear" w:color="auto" w:fill="E7E6E6" w:themeFill="background2"/>
          </w:tcPr>
          <w:p w14:paraId="10A79E22" w14:textId="77777777" w:rsidR="00FC1B2C" w:rsidRPr="006932BE" w:rsidRDefault="00FC1B2C">
            <w:pPr>
              <w:rPr>
                <w:b/>
                <w:sz w:val="20"/>
                <w:szCs w:val="20"/>
              </w:rPr>
            </w:pPr>
            <w:r w:rsidRPr="006932BE">
              <w:rPr>
                <w:b/>
                <w:sz w:val="20"/>
                <w:szCs w:val="20"/>
              </w:rPr>
              <w:t>Done?</w:t>
            </w:r>
          </w:p>
        </w:tc>
        <w:tc>
          <w:tcPr>
            <w:tcW w:w="2656" w:type="dxa"/>
            <w:shd w:val="clear" w:color="auto" w:fill="E7E6E6" w:themeFill="background2"/>
          </w:tcPr>
          <w:p w14:paraId="2A3E55D0" w14:textId="4156CB5D" w:rsidR="00FC1B2C" w:rsidRPr="006932BE" w:rsidRDefault="00FC1B2C">
            <w:pPr>
              <w:rPr>
                <w:b/>
                <w:sz w:val="20"/>
                <w:szCs w:val="20"/>
              </w:rPr>
            </w:pPr>
            <w:r w:rsidRPr="006932BE">
              <w:rPr>
                <w:b/>
                <w:sz w:val="20"/>
                <w:szCs w:val="20"/>
              </w:rPr>
              <w:t>Comments</w:t>
            </w:r>
          </w:p>
        </w:tc>
      </w:tr>
      <w:tr w:rsidR="00FC1B2C" w:rsidRPr="006932BE" w14:paraId="2D3196BC" w14:textId="346ECB34" w:rsidTr="00D74319">
        <w:tc>
          <w:tcPr>
            <w:tcW w:w="3151" w:type="dxa"/>
            <w:shd w:val="clear" w:color="auto" w:fill="FFFFFF" w:themeFill="background1"/>
          </w:tcPr>
          <w:p w14:paraId="4DAC99A8" w14:textId="66C1E1B6" w:rsidR="00FC1B2C" w:rsidRPr="006932BE" w:rsidRDefault="00112723">
            <w:pPr>
              <w:rPr>
                <w:b/>
                <w:bCs/>
                <w:sz w:val="20"/>
                <w:szCs w:val="20"/>
              </w:rPr>
            </w:pPr>
            <w:r w:rsidRPr="006932BE">
              <w:rPr>
                <w:b/>
                <w:sz w:val="20"/>
                <w:szCs w:val="20"/>
              </w:rPr>
              <w:t>Knowledge</w:t>
            </w:r>
            <w:r w:rsidR="00D74319">
              <w:rPr>
                <w:b/>
                <w:sz w:val="20"/>
                <w:szCs w:val="20"/>
              </w:rPr>
              <w:t xml:space="preserve"> of </w:t>
            </w:r>
            <w:r w:rsidR="00914C2B">
              <w:rPr>
                <w:b/>
                <w:sz w:val="20"/>
                <w:szCs w:val="20"/>
              </w:rPr>
              <w:t xml:space="preserve">key </w:t>
            </w:r>
            <w:r w:rsidR="00D74319">
              <w:rPr>
                <w:b/>
                <w:sz w:val="20"/>
                <w:szCs w:val="20"/>
              </w:rPr>
              <w:t>IFRC</w:t>
            </w:r>
            <w:r w:rsidR="00914C2B">
              <w:rPr>
                <w:b/>
                <w:sz w:val="20"/>
                <w:szCs w:val="20"/>
              </w:rPr>
              <w:t>/ Movement</w:t>
            </w:r>
            <w:r w:rsidR="00D74319">
              <w:rPr>
                <w:b/>
                <w:sz w:val="20"/>
                <w:szCs w:val="20"/>
              </w:rPr>
              <w:t xml:space="preserve"> policies and</w:t>
            </w:r>
            <w:r w:rsidRPr="006932BE">
              <w:rPr>
                <w:b/>
                <w:sz w:val="20"/>
                <w:szCs w:val="20"/>
              </w:rPr>
              <w:t xml:space="preserve"> </w:t>
            </w:r>
            <w:r w:rsidR="00FC1B2C" w:rsidRPr="006932BE">
              <w:rPr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8789" w:type="dxa"/>
            <w:shd w:val="clear" w:color="auto" w:fill="FFFF00"/>
          </w:tcPr>
          <w:p w14:paraId="2DCBA6A4" w14:textId="78C78EA4" w:rsidR="00FC1B2C" w:rsidRPr="00D74319" w:rsidRDefault="00FC1B2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The </w:t>
            </w:r>
            <w:r w:rsidR="00EF1B2D">
              <w:rPr>
                <w:sz w:val="20"/>
                <w:szCs w:val="20"/>
              </w:rPr>
              <w:t xml:space="preserve">head </w:t>
            </w:r>
            <w:r w:rsidRPr="006932BE">
              <w:rPr>
                <w:sz w:val="20"/>
                <w:szCs w:val="20"/>
              </w:rPr>
              <w:t>o</w:t>
            </w:r>
            <w:r w:rsidR="00EF1B2D">
              <w:rPr>
                <w:sz w:val="20"/>
                <w:szCs w:val="20"/>
              </w:rPr>
              <w:t>f delegation (</w:t>
            </w:r>
            <w:proofErr w:type="spellStart"/>
            <w:r w:rsidR="00EF1B2D">
              <w:rPr>
                <w:sz w:val="20"/>
                <w:szCs w:val="20"/>
              </w:rPr>
              <w:t>HoD</w:t>
            </w:r>
            <w:proofErr w:type="spellEnd"/>
            <w:r w:rsidR="00EF1B2D">
              <w:rPr>
                <w:sz w:val="20"/>
                <w:szCs w:val="20"/>
              </w:rPr>
              <w:t>)</w:t>
            </w:r>
            <w:r w:rsidRPr="006932BE">
              <w:rPr>
                <w:sz w:val="20"/>
                <w:szCs w:val="20"/>
              </w:rPr>
              <w:t xml:space="preserve"> and relevant staff understand</w:t>
            </w:r>
            <w:r w:rsidR="00EA619A">
              <w:rPr>
                <w:sz w:val="20"/>
                <w:szCs w:val="20"/>
              </w:rPr>
              <w:t xml:space="preserve"> (through briefings, trainings </w:t>
            </w:r>
            <w:proofErr w:type="spellStart"/>
            <w:r w:rsidR="00EA619A">
              <w:rPr>
                <w:sz w:val="20"/>
                <w:szCs w:val="20"/>
              </w:rPr>
              <w:t>etc</w:t>
            </w:r>
            <w:proofErr w:type="spellEnd"/>
            <w:r w:rsidR="00EA619A">
              <w:rPr>
                <w:sz w:val="20"/>
                <w:szCs w:val="20"/>
              </w:rPr>
              <w:t>)</w:t>
            </w:r>
            <w:r w:rsidRPr="006932BE">
              <w:rPr>
                <w:sz w:val="20"/>
                <w:szCs w:val="20"/>
              </w:rPr>
              <w:t xml:space="preserve"> the key IFRC </w:t>
            </w:r>
            <w:r w:rsidR="00616BA6">
              <w:rPr>
                <w:sz w:val="20"/>
                <w:szCs w:val="20"/>
              </w:rPr>
              <w:t xml:space="preserve">(or Movement) </w:t>
            </w:r>
            <w:r w:rsidRPr="006932BE">
              <w:rPr>
                <w:sz w:val="20"/>
                <w:szCs w:val="20"/>
              </w:rPr>
              <w:t xml:space="preserve">Emergency Operations policies and </w:t>
            </w:r>
            <w:r w:rsidRPr="00EA619A">
              <w:rPr>
                <w:sz w:val="20"/>
                <w:szCs w:val="20"/>
              </w:rPr>
              <w:t>procedures</w:t>
            </w:r>
            <w:r w:rsidR="00EA619A" w:rsidRPr="00EA619A">
              <w:rPr>
                <w:sz w:val="20"/>
                <w:szCs w:val="20"/>
              </w:rPr>
              <w:t xml:space="preserve">: </w:t>
            </w:r>
            <w:hyperlink r:id="rId13" w:history="1">
              <w:r w:rsidR="00EA619A" w:rsidRPr="00EA619A">
                <w:rPr>
                  <w:rStyle w:val="Hyperlink"/>
                  <w:sz w:val="20"/>
                  <w:szCs w:val="20"/>
                </w:rPr>
                <w:t>Principles and Rules for Red Cross and Red Crescent Humanitarian Assistance</w:t>
              </w:r>
            </w:hyperlink>
            <w:r w:rsidR="00EA619A" w:rsidRPr="00EA619A">
              <w:rPr>
                <w:sz w:val="20"/>
                <w:szCs w:val="20"/>
              </w:rPr>
              <w:t xml:space="preserve">; </w:t>
            </w:r>
            <w:hyperlink r:id="rId14" w:history="1">
              <w:r w:rsidR="00EA619A" w:rsidRPr="00EA619A">
                <w:rPr>
                  <w:color w:val="0000FF"/>
                  <w:sz w:val="20"/>
                  <w:szCs w:val="20"/>
                  <w:u w:val="single"/>
                </w:rPr>
                <w:t>Disaster Risk Management Policy</w:t>
              </w:r>
            </w:hyperlink>
            <w:r w:rsidR="00EA619A" w:rsidRPr="00EA619A">
              <w:rPr>
                <w:sz w:val="20"/>
                <w:szCs w:val="20"/>
              </w:rPr>
              <w:t xml:space="preserve">; </w:t>
            </w:r>
            <w:hyperlink r:id="rId15" w:history="1">
              <w:r w:rsidR="00EA619A" w:rsidRPr="00EA619A">
                <w:rPr>
                  <w:color w:val="0000FF"/>
                  <w:sz w:val="20"/>
                  <w:szCs w:val="20"/>
                  <w:u w:val="single"/>
                </w:rPr>
                <w:t>Emergency Response Framework with RACI</w:t>
              </w:r>
            </w:hyperlink>
            <w:r w:rsidR="00EA619A" w:rsidRPr="00EA619A">
              <w:rPr>
                <w:sz w:val="20"/>
                <w:szCs w:val="20"/>
              </w:rPr>
              <w:t xml:space="preserve">; </w:t>
            </w:r>
            <w:hyperlink r:id="rId16" w:history="1">
              <w:r w:rsidR="00EF1B2D">
                <w:rPr>
                  <w:rStyle w:val="Hyperlink"/>
                  <w:color w:val="0000FF"/>
                  <w:sz w:val="20"/>
                  <w:szCs w:val="20"/>
                </w:rPr>
                <w:t xml:space="preserve">Seville Agreement 2.0 </w:t>
              </w:r>
            </w:hyperlink>
            <w:r w:rsidR="00EA619A" w:rsidRPr="00EA619A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; </w:t>
            </w:r>
            <w:hyperlink r:id="rId17" w:history="1">
              <w:r w:rsidR="00EA619A" w:rsidRPr="00EA619A">
                <w:rPr>
                  <w:rStyle w:val="Hyperlink"/>
                  <w:sz w:val="20"/>
                  <w:szCs w:val="20"/>
                </w:rPr>
                <w:t>Movement Coordination Toolkit</w:t>
              </w:r>
            </w:hyperlink>
            <w:r w:rsidR="00EA619A" w:rsidRPr="00EA619A">
              <w:rPr>
                <w:sz w:val="20"/>
                <w:szCs w:val="20"/>
              </w:rPr>
              <w:t xml:space="preserve">, </w:t>
            </w:r>
            <w:hyperlink r:id="rId18" w:history="1">
              <w:r w:rsidR="00EA619A" w:rsidRPr="00EA619A">
                <w:rPr>
                  <w:rStyle w:val="Hyperlink"/>
                  <w:sz w:val="20"/>
                  <w:szCs w:val="20"/>
                </w:rPr>
                <w:t>DREF Guidelines</w:t>
              </w:r>
            </w:hyperlink>
            <w:r w:rsidR="00EA619A" w:rsidRPr="00EA619A">
              <w:rPr>
                <w:sz w:val="20"/>
                <w:szCs w:val="20"/>
              </w:rPr>
              <w:t xml:space="preserve">, </w:t>
            </w:r>
            <w:hyperlink r:id="rId19" w:history="1">
              <w:r w:rsidR="00EA619A" w:rsidRPr="00EA619A">
                <w:rPr>
                  <w:rStyle w:val="Hyperlink"/>
                  <w:sz w:val="20"/>
                  <w:szCs w:val="20"/>
                </w:rPr>
                <w:t>New Emergency Appeal Process</w:t>
              </w:r>
            </w:hyperlink>
            <w:r w:rsidRPr="00EA619A">
              <w:rPr>
                <w:sz w:val="20"/>
                <w:szCs w:val="20"/>
              </w:rPr>
              <w:t>.</w:t>
            </w:r>
            <w:r w:rsidR="00A11ECD" w:rsidRPr="00EA619A">
              <w:rPr>
                <w:rStyle w:val="EndnoteReference"/>
                <w:sz w:val="20"/>
                <w:szCs w:val="20"/>
              </w:rPr>
              <w:endnoteReference w:id="8"/>
            </w:r>
          </w:p>
        </w:tc>
        <w:sdt>
          <w:sdtPr>
            <w:rPr>
              <w:sz w:val="20"/>
              <w:szCs w:val="20"/>
            </w:rPr>
            <w:id w:val="-187699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78C4B3C5" w14:textId="77777777" w:rsidR="00FC1B2C" w:rsidRPr="006932BE" w:rsidRDefault="00FC1B2C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FFFF00"/>
          </w:tcPr>
          <w:p w14:paraId="19765E0A" w14:textId="77777777" w:rsidR="00FC1B2C" w:rsidRPr="006932BE" w:rsidRDefault="00FC1B2C">
            <w:pPr>
              <w:rPr>
                <w:sz w:val="20"/>
                <w:szCs w:val="20"/>
              </w:rPr>
            </w:pPr>
          </w:p>
        </w:tc>
      </w:tr>
      <w:tr w:rsidR="003F65C1" w:rsidRPr="006932BE" w14:paraId="3E0B117F" w14:textId="77777777" w:rsidTr="00D74319">
        <w:tc>
          <w:tcPr>
            <w:tcW w:w="3151" w:type="dxa"/>
            <w:vMerge w:val="restart"/>
            <w:shd w:val="clear" w:color="auto" w:fill="FFFFFF" w:themeFill="background1"/>
          </w:tcPr>
          <w:p w14:paraId="7A66B7D4" w14:textId="4E66008F" w:rsidR="003F65C1" w:rsidRPr="006932BE" w:rsidRDefault="003F65C1">
            <w:pPr>
              <w:rPr>
                <w:b/>
                <w:sz w:val="20"/>
                <w:szCs w:val="20"/>
              </w:rPr>
            </w:pPr>
            <w:r w:rsidRPr="006932BE">
              <w:rPr>
                <w:b/>
                <w:bCs/>
                <w:sz w:val="20"/>
                <w:szCs w:val="20"/>
              </w:rPr>
              <w:t>IFRC contacts</w:t>
            </w:r>
          </w:p>
        </w:tc>
        <w:tc>
          <w:tcPr>
            <w:tcW w:w="8789" w:type="dxa"/>
            <w:shd w:val="clear" w:color="auto" w:fill="FFFF00"/>
          </w:tcPr>
          <w:p w14:paraId="51A7386D" w14:textId="4F199139" w:rsidR="003F65C1" w:rsidRPr="006932BE" w:rsidRDefault="003F65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d</w:t>
            </w:r>
            <w:r w:rsidRPr="006932BE">
              <w:rPr>
                <w:sz w:val="20"/>
                <w:szCs w:val="20"/>
              </w:rPr>
              <w:t>elegation has a list of the key IFRC focal points</w:t>
            </w:r>
            <w:r>
              <w:rPr>
                <w:sz w:val="20"/>
                <w:szCs w:val="20"/>
              </w:rPr>
              <w:t xml:space="preserve"> by function</w:t>
            </w:r>
            <w:r w:rsidR="00831FC5">
              <w:rPr>
                <w:sz w:val="20"/>
                <w:szCs w:val="20"/>
              </w:rPr>
              <w:t xml:space="preserve"> (whether at country, CCD</w:t>
            </w:r>
            <w:r w:rsidR="00081FC9">
              <w:rPr>
                <w:sz w:val="20"/>
                <w:szCs w:val="20"/>
              </w:rPr>
              <w:t>, regional or HQ level)</w:t>
            </w:r>
            <w:r w:rsidRPr="006932BE">
              <w:rPr>
                <w:sz w:val="20"/>
                <w:szCs w:val="20"/>
              </w:rPr>
              <w:t xml:space="preserve"> to contact for an emergency operation and regularly liaises with them.</w:t>
            </w:r>
          </w:p>
        </w:tc>
        <w:sdt>
          <w:sdtPr>
            <w:rPr>
              <w:sz w:val="20"/>
              <w:szCs w:val="20"/>
            </w:rPr>
            <w:id w:val="-169884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172C838B" w14:textId="562EE0DC" w:rsidR="003F65C1" w:rsidRPr="006932BE" w:rsidRDefault="003F65C1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FFFF00"/>
          </w:tcPr>
          <w:p w14:paraId="21BF2C16" w14:textId="77777777" w:rsidR="003F65C1" w:rsidRPr="006932BE" w:rsidRDefault="003F65C1">
            <w:pPr>
              <w:rPr>
                <w:sz w:val="20"/>
                <w:szCs w:val="20"/>
              </w:rPr>
            </w:pPr>
          </w:p>
        </w:tc>
      </w:tr>
      <w:tr w:rsidR="003F65C1" w:rsidRPr="006932BE" w14:paraId="228B1BA3" w14:textId="77777777" w:rsidTr="00D74319">
        <w:tc>
          <w:tcPr>
            <w:tcW w:w="3151" w:type="dxa"/>
            <w:vMerge/>
            <w:shd w:val="clear" w:color="auto" w:fill="FFFFFF" w:themeFill="background1"/>
          </w:tcPr>
          <w:p w14:paraId="53463ACF" w14:textId="77777777" w:rsidR="003F65C1" w:rsidRPr="006932BE" w:rsidRDefault="003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484AFAEE" w14:textId="4423D06A" w:rsidR="003F65C1" w:rsidRPr="006932BE" w:rsidRDefault="003F65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delegation has an emergency focal point, and an alternative person to cover absences</w:t>
            </w:r>
            <w:r w:rsidR="00081FC9">
              <w:rPr>
                <w:sz w:val="20"/>
                <w:szCs w:val="20"/>
              </w:rPr>
              <w:t xml:space="preserve"> (with a delegation of authority</w:t>
            </w:r>
            <w:r w:rsidR="003F44FB">
              <w:rPr>
                <w:sz w:val="20"/>
                <w:szCs w:val="20"/>
              </w:rPr>
              <w:t>) and</w:t>
            </w:r>
            <w:r>
              <w:rPr>
                <w:sz w:val="20"/>
                <w:szCs w:val="20"/>
              </w:rPr>
              <w:t xml:space="preserve"> has shared these names with the regional office.</w:t>
            </w:r>
          </w:p>
        </w:tc>
        <w:sdt>
          <w:sdtPr>
            <w:rPr>
              <w:sz w:val="20"/>
              <w:szCs w:val="20"/>
            </w:rPr>
            <w:id w:val="-87315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7F894D3B" w14:textId="06DD9264" w:rsidR="003F65C1" w:rsidRDefault="003F65C1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FFFF00"/>
          </w:tcPr>
          <w:p w14:paraId="5164C94B" w14:textId="77777777" w:rsidR="003F65C1" w:rsidRPr="006932BE" w:rsidRDefault="003F65C1">
            <w:pPr>
              <w:rPr>
                <w:sz w:val="20"/>
                <w:szCs w:val="20"/>
              </w:rPr>
            </w:pPr>
          </w:p>
        </w:tc>
      </w:tr>
      <w:tr w:rsidR="006932BE" w:rsidRPr="006932BE" w14:paraId="40DB7CD1" w14:textId="77777777" w:rsidTr="00D74319">
        <w:tc>
          <w:tcPr>
            <w:tcW w:w="3151" w:type="dxa"/>
            <w:vMerge w:val="restart"/>
            <w:shd w:val="clear" w:color="auto" w:fill="FFFFFF" w:themeFill="background1"/>
          </w:tcPr>
          <w:p w14:paraId="4C16334F" w14:textId="52595BD1" w:rsidR="006932BE" w:rsidRPr="006932BE" w:rsidRDefault="006932BE" w:rsidP="006932BE">
            <w:pPr>
              <w:rPr>
                <w:b/>
                <w:bCs/>
                <w:sz w:val="20"/>
                <w:szCs w:val="20"/>
              </w:rPr>
            </w:pPr>
            <w:r w:rsidRPr="006932BE">
              <w:rPr>
                <w:b/>
                <w:sz w:val="20"/>
                <w:szCs w:val="20"/>
              </w:rPr>
              <w:t>Legal</w:t>
            </w:r>
          </w:p>
        </w:tc>
        <w:tc>
          <w:tcPr>
            <w:tcW w:w="8789" w:type="dxa"/>
            <w:shd w:val="clear" w:color="auto" w:fill="FFFF00"/>
          </w:tcPr>
          <w:p w14:paraId="0ABB2FF9" w14:textId="49244BA0" w:rsidR="006932BE" w:rsidRPr="006932BE" w:rsidRDefault="006932BE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IFRC has entered into a Legal Status Agreement (LSA) with the government in the country.</w:t>
            </w:r>
          </w:p>
        </w:tc>
        <w:sdt>
          <w:sdtPr>
            <w:rPr>
              <w:sz w:val="20"/>
              <w:szCs w:val="20"/>
            </w:rPr>
            <w:id w:val="171770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4A2C27DE" w14:textId="107605C8" w:rsidR="006932BE" w:rsidRPr="006932BE" w:rsidRDefault="006932BE" w:rsidP="006932BE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FFFF00"/>
          </w:tcPr>
          <w:p w14:paraId="1B024345" w14:textId="77777777" w:rsidR="006932BE" w:rsidRPr="006932BE" w:rsidRDefault="006932BE" w:rsidP="006932BE">
            <w:pPr>
              <w:rPr>
                <w:sz w:val="20"/>
                <w:szCs w:val="20"/>
              </w:rPr>
            </w:pPr>
          </w:p>
        </w:tc>
      </w:tr>
      <w:tr w:rsidR="006932BE" w:rsidRPr="006932BE" w14:paraId="34C8AB9C" w14:textId="77777777" w:rsidTr="00D74319">
        <w:tc>
          <w:tcPr>
            <w:tcW w:w="3151" w:type="dxa"/>
            <w:vMerge/>
            <w:shd w:val="clear" w:color="auto" w:fill="FFFFFF" w:themeFill="background1"/>
          </w:tcPr>
          <w:p w14:paraId="252CE824" w14:textId="77777777" w:rsidR="006932BE" w:rsidRPr="006932BE" w:rsidRDefault="006932BE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0C9E3B2A" w14:textId="77777777" w:rsidR="006932BE" w:rsidRPr="006932BE" w:rsidRDefault="006932BE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Where there is no LSA, IFRC has written to the government requesting </w:t>
            </w:r>
            <w:proofErr w:type="gramStart"/>
            <w:r w:rsidRPr="006932BE">
              <w:rPr>
                <w:sz w:val="20"/>
                <w:szCs w:val="20"/>
              </w:rPr>
              <w:t>a</w:t>
            </w:r>
            <w:proofErr w:type="gramEnd"/>
            <w:r w:rsidRPr="006932BE">
              <w:rPr>
                <w:sz w:val="20"/>
                <w:szCs w:val="20"/>
              </w:rPr>
              <w:t xml:space="preserve"> LSA, and the delegation has explored the options for operating in an emergency without a LSA: </w:t>
            </w:r>
          </w:p>
          <w:p w14:paraId="2D50698A" w14:textId="7D1D471E" w:rsidR="006932BE" w:rsidRPr="006932BE" w:rsidRDefault="006932BE" w:rsidP="006932BE">
            <w:pPr>
              <w:ind w:left="720"/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(a) work through the National Society, </w:t>
            </w:r>
          </w:p>
          <w:p w14:paraId="46D2772F" w14:textId="5B0400BF" w:rsidR="006932BE" w:rsidRPr="006932BE" w:rsidRDefault="006932BE" w:rsidP="00D74319">
            <w:pPr>
              <w:pStyle w:val="ListParagraph"/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(b) work through</w:t>
            </w:r>
            <w:r w:rsidR="003F65C1">
              <w:rPr>
                <w:sz w:val="20"/>
                <w:szCs w:val="20"/>
              </w:rPr>
              <w:t xml:space="preserve"> a</w:t>
            </w:r>
            <w:r w:rsidRPr="006932BE">
              <w:rPr>
                <w:sz w:val="20"/>
                <w:szCs w:val="20"/>
              </w:rPr>
              <w:t xml:space="preserve"> nearby IFRC delegation with </w:t>
            </w:r>
            <w:proofErr w:type="gramStart"/>
            <w:r w:rsidRPr="006932BE">
              <w:rPr>
                <w:sz w:val="20"/>
                <w:szCs w:val="20"/>
              </w:rPr>
              <w:t>a</w:t>
            </w:r>
            <w:proofErr w:type="gramEnd"/>
            <w:r w:rsidRPr="006932BE">
              <w:rPr>
                <w:sz w:val="20"/>
                <w:szCs w:val="20"/>
              </w:rPr>
              <w:t xml:space="preserve"> LSA.</w:t>
            </w:r>
            <w:r w:rsidR="00A11ECD">
              <w:rPr>
                <w:rStyle w:val="EndnoteReference"/>
                <w:sz w:val="20"/>
                <w:szCs w:val="20"/>
              </w:rPr>
              <w:endnoteReference w:id="9"/>
            </w:r>
          </w:p>
        </w:tc>
        <w:sdt>
          <w:sdtPr>
            <w:rPr>
              <w:sz w:val="20"/>
              <w:szCs w:val="20"/>
            </w:rPr>
            <w:id w:val="-3380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13331234" w14:textId="3A2A11B5" w:rsidR="006932BE" w:rsidRPr="006932BE" w:rsidRDefault="00A11ECD" w:rsidP="006932BE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FFFF00"/>
          </w:tcPr>
          <w:p w14:paraId="294E1D59" w14:textId="77777777" w:rsidR="006932BE" w:rsidRPr="006932BE" w:rsidRDefault="006932BE" w:rsidP="006932BE">
            <w:pPr>
              <w:rPr>
                <w:sz w:val="20"/>
                <w:szCs w:val="20"/>
              </w:rPr>
            </w:pPr>
          </w:p>
        </w:tc>
      </w:tr>
      <w:tr w:rsidR="006932BE" w:rsidRPr="006932BE" w14:paraId="3E0272FE" w14:textId="77777777" w:rsidTr="00D74319">
        <w:tc>
          <w:tcPr>
            <w:tcW w:w="3151" w:type="dxa"/>
            <w:vMerge/>
            <w:shd w:val="clear" w:color="auto" w:fill="FFFFFF" w:themeFill="background1"/>
          </w:tcPr>
          <w:p w14:paraId="6A944D28" w14:textId="77777777" w:rsidR="006932BE" w:rsidRPr="006932BE" w:rsidRDefault="006932BE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5660DA70" w14:textId="0BA1D8FF" w:rsidR="006932BE" w:rsidRPr="006932BE" w:rsidRDefault="006932BE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The delegation has identified a local legal adviser to ensure</w:t>
            </w:r>
            <w:r w:rsidR="00A11ECD">
              <w:rPr>
                <w:sz w:val="20"/>
                <w:szCs w:val="20"/>
              </w:rPr>
              <w:t xml:space="preserve"> compliance with</w:t>
            </w:r>
            <w:r w:rsidRPr="006932BE">
              <w:rPr>
                <w:sz w:val="20"/>
                <w:szCs w:val="20"/>
              </w:rPr>
              <w:t xml:space="preserve"> local legal requiremen</w:t>
            </w:r>
            <w:r w:rsidR="00A11ECD">
              <w:rPr>
                <w:sz w:val="20"/>
                <w:szCs w:val="20"/>
              </w:rPr>
              <w:t>ts</w:t>
            </w:r>
            <w:r w:rsidR="006A394E">
              <w:rPr>
                <w:sz w:val="20"/>
                <w:szCs w:val="20"/>
              </w:rPr>
              <w:t xml:space="preserve"> (including local </w:t>
            </w:r>
            <w:proofErr w:type="spellStart"/>
            <w:r w:rsidR="006A394E">
              <w:rPr>
                <w:sz w:val="20"/>
                <w:szCs w:val="20"/>
              </w:rPr>
              <w:t>labour</w:t>
            </w:r>
            <w:proofErr w:type="spellEnd"/>
            <w:r w:rsidR="006A394E">
              <w:rPr>
                <w:sz w:val="20"/>
                <w:szCs w:val="20"/>
              </w:rPr>
              <w:t xml:space="preserve"> laws, local data protection obligations</w:t>
            </w:r>
            <w:r w:rsidR="00865AA4">
              <w:rPr>
                <w:rStyle w:val="EndnoteReference"/>
                <w:sz w:val="20"/>
                <w:szCs w:val="20"/>
              </w:rPr>
              <w:endnoteReference w:id="10"/>
            </w:r>
            <w:r w:rsidR="00B52920">
              <w:rPr>
                <w:sz w:val="20"/>
                <w:szCs w:val="20"/>
              </w:rPr>
              <w:t>, other national legal obligations</w:t>
            </w:r>
            <w:r w:rsidR="006A394E">
              <w:rPr>
                <w:sz w:val="20"/>
                <w:szCs w:val="20"/>
              </w:rPr>
              <w:t xml:space="preserve"> etc</w:t>
            </w:r>
            <w:r w:rsidRPr="006932BE">
              <w:rPr>
                <w:sz w:val="20"/>
                <w:szCs w:val="20"/>
              </w:rPr>
              <w:t>.</w:t>
            </w:r>
            <w:r w:rsidR="00B52920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110657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5CA8CB89" w14:textId="246514BE" w:rsidR="006932BE" w:rsidRPr="006932BE" w:rsidRDefault="00A11ECD" w:rsidP="006932BE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FFFF00"/>
          </w:tcPr>
          <w:p w14:paraId="5295203C" w14:textId="77777777" w:rsidR="006932BE" w:rsidRPr="006932BE" w:rsidRDefault="006932BE" w:rsidP="006932BE">
            <w:pPr>
              <w:rPr>
                <w:sz w:val="20"/>
                <w:szCs w:val="20"/>
              </w:rPr>
            </w:pPr>
          </w:p>
        </w:tc>
      </w:tr>
      <w:tr w:rsidR="006932BE" w:rsidRPr="006932BE" w14:paraId="32BC8BA0" w14:textId="77777777" w:rsidTr="00D74319">
        <w:tc>
          <w:tcPr>
            <w:tcW w:w="3151" w:type="dxa"/>
            <w:vMerge/>
            <w:shd w:val="clear" w:color="auto" w:fill="FFFFFF" w:themeFill="background1"/>
          </w:tcPr>
          <w:p w14:paraId="54F114B2" w14:textId="77777777" w:rsidR="006932BE" w:rsidRPr="006932BE" w:rsidRDefault="006932BE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14:paraId="3FB3C5DC" w14:textId="0F5A05EC" w:rsidR="006932BE" w:rsidRPr="006932BE" w:rsidRDefault="006932BE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The </w:t>
            </w:r>
            <w:proofErr w:type="spellStart"/>
            <w:r w:rsidRPr="006932BE">
              <w:rPr>
                <w:sz w:val="20"/>
                <w:szCs w:val="20"/>
              </w:rPr>
              <w:t>HoD</w:t>
            </w:r>
            <w:proofErr w:type="spellEnd"/>
            <w:r w:rsidRPr="006932BE">
              <w:rPr>
                <w:sz w:val="20"/>
                <w:szCs w:val="20"/>
              </w:rPr>
              <w:t xml:space="preserve"> and relevant staff are aware of data protection obligations in the country of operation.</w:t>
            </w:r>
          </w:p>
        </w:tc>
        <w:sdt>
          <w:sdtPr>
            <w:rPr>
              <w:sz w:val="20"/>
              <w:szCs w:val="20"/>
            </w:rPr>
            <w:id w:val="41629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6EBA508D" w14:textId="1C7BCF5D" w:rsidR="006932BE" w:rsidRPr="006932BE" w:rsidRDefault="006932BE" w:rsidP="006932BE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auto"/>
          </w:tcPr>
          <w:p w14:paraId="7CB123EF" w14:textId="77777777" w:rsidR="006932BE" w:rsidRPr="006932BE" w:rsidRDefault="006932BE" w:rsidP="006932BE">
            <w:pPr>
              <w:rPr>
                <w:sz w:val="20"/>
                <w:szCs w:val="20"/>
              </w:rPr>
            </w:pPr>
          </w:p>
        </w:tc>
      </w:tr>
      <w:tr w:rsidR="006932BE" w:rsidRPr="006932BE" w14:paraId="2C388206" w14:textId="77777777" w:rsidTr="00D74319">
        <w:tc>
          <w:tcPr>
            <w:tcW w:w="3151" w:type="dxa"/>
            <w:vMerge/>
            <w:shd w:val="clear" w:color="auto" w:fill="FFFFFF" w:themeFill="background1"/>
          </w:tcPr>
          <w:p w14:paraId="323F406E" w14:textId="77777777" w:rsidR="006932BE" w:rsidRPr="006932BE" w:rsidRDefault="006932BE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14:paraId="3F979653" w14:textId="11365DF9" w:rsidR="006932BE" w:rsidRPr="006932BE" w:rsidRDefault="006932BE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A data sharing agreement has been signed with the National Society</w:t>
            </w:r>
            <w:r w:rsidR="00657641">
              <w:rPr>
                <w:sz w:val="20"/>
                <w:szCs w:val="20"/>
              </w:rPr>
              <w:t>, and/or with the UN</w:t>
            </w:r>
            <w:r w:rsidR="0073117B">
              <w:rPr>
                <w:sz w:val="20"/>
                <w:szCs w:val="20"/>
              </w:rPr>
              <w:t>, and/or with government agencies</w:t>
            </w:r>
            <w:r w:rsidRPr="006932BE">
              <w:rPr>
                <w:sz w:val="20"/>
                <w:szCs w:val="20"/>
              </w:rPr>
              <w:t xml:space="preserve"> in countries where IFRC will </w:t>
            </w:r>
            <w:r w:rsidR="00642EC2">
              <w:rPr>
                <w:sz w:val="20"/>
                <w:szCs w:val="20"/>
              </w:rPr>
              <w:t>manage or handle</w:t>
            </w:r>
            <w:r w:rsidRPr="006932BE">
              <w:rPr>
                <w:sz w:val="20"/>
                <w:szCs w:val="20"/>
              </w:rPr>
              <w:t xml:space="preserve"> personal data</w:t>
            </w:r>
            <w:r w:rsidR="00642EC2">
              <w:rPr>
                <w:sz w:val="20"/>
                <w:szCs w:val="20"/>
              </w:rPr>
              <w:t xml:space="preserve"> of community members</w:t>
            </w:r>
            <w:r w:rsidRPr="006932BE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55970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356ECA3D" w14:textId="67D8E401" w:rsidR="006932BE" w:rsidRPr="006932BE" w:rsidRDefault="006932BE" w:rsidP="006932BE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auto"/>
          </w:tcPr>
          <w:p w14:paraId="76516910" w14:textId="77777777" w:rsidR="006932BE" w:rsidRPr="006932BE" w:rsidRDefault="006932BE" w:rsidP="006932BE">
            <w:pPr>
              <w:rPr>
                <w:sz w:val="20"/>
                <w:szCs w:val="20"/>
              </w:rPr>
            </w:pPr>
          </w:p>
        </w:tc>
      </w:tr>
      <w:tr w:rsidR="006932BE" w:rsidRPr="006932BE" w14:paraId="7DF530CD" w14:textId="77777777" w:rsidTr="00D74319">
        <w:tc>
          <w:tcPr>
            <w:tcW w:w="3151" w:type="dxa"/>
            <w:vMerge/>
            <w:shd w:val="clear" w:color="auto" w:fill="FFFFFF" w:themeFill="background1"/>
          </w:tcPr>
          <w:p w14:paraId="5F358244" w14:textId="77777777" w:rsidR="006932BE" w:rsidRPr="006932BE" w:rsidRDefault="006932BE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14:paraId="22D346F1" w14:textId="531D30BD" w:rsidR="006932BE" w:rsidRPr="006932BE" w:rsidRDefault="00356E98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IFRC is directly collecting data from communities, a</w:t>
            </w:r>
            <w:r w:rsidR="006932BE" w:rsidRPr="006932BE">
              <w:rPr>
                <w:sz w:val="20"/>
                <w:szCs w:val="20"/>
              </w:rPr>
              <w:t xml:space="preserve"> template privacy notice has been drafted with the assistance of the local legal adviser, to provide to </w:t>
            </w:r>
            <w:r w:rsidR="008F520B">
              <w:rPr>
                <w:sz w:val="20"/>
                <w:szCs w:val="20"/>
              </w:rPr>
              <w:t xml:space="preserve">the </w:t>
            </w:r>
            <w:r w:rsidR="005F3FA8">
              <w:rPr>
                <w:sz w:val="20"/>
                <w:szCs w:val="20"/>
              </w:rPr>
              <w:t>community members</w:t>
            </w:r>
            <w:r w:rsidR="006932BE" w:rsidRPr="006932BE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451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1E555608" w14:textId="2F8ADAC5" w:rsidR="006932BE" w:rsidRPr="006932BE" w:rsidRDefault="006932BE" w:rsidP="006932BE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auto"/>
          </w:tcPr>
          <w:p w14:paraId="4AD23983" w14:textId="77777777" w:rsidR="006932BE" w:rsidRPr="006932BE" w:rsidRDefault="006932BE" w:rsidP="006932BE">
            <w:pPr>
              <w:rPr>
                <w:sz w:val="20"/>
                <w:szCs w:val="20"/>
              </w:rPr>
            </w:pPr>
          </w:p>
        </w:tc>
      </w:tr>
      <w:tr w:rsidR="00D42F1C" w:rsidRPr="006932BE" w14:paraId="79486945" w14:textId="77777777" w:rsidTr="003F65C1">
        <w:tc>
          <w:tcPr>
            <w:tcW w:w="3151" w:type="dxa"/>
            <w:vMerge w:val="restart"/>
            <w:shd w:val="clear" w:color="auto" w:fill="FFFFFF" w:themeFill="background1"/>
          </w:tcPr>
          <w:p w14:paraId="243CB748" w14:textId="7727DAB0" w:rsidR="00D42F1C" w:rsidRPr="006932BE" w:rsidRDefault="00D42F1C" w:rsidP="006932BE">
            <w:pPr>
              <w:rPr>
                <w:b/>
                <w:sz w:val="20"/>
                <w:szCs w:val="20"/>
              </w:rPr>
            </w:pPr>
            <w:r w:rsidRPr="006932BE">
              <w:rPr>
                <w:b/>
                <w:bCs/>
                <w:sz w:val="20"/>
                <w:szCs w:val="20"/>
              </w:rPr>
              <w:t>Finance</w:t>
            </w:r>
          </w:p>
        </w:tc>
        <w:tc>
          <w:tcPr>
            <w:tcW w:w="8789" w:type="dxa"/>
            <w:shd w:val="clear" w:color="auto" w:fill="FFFF00"/>
          </w:tcPr>
          <w:p w14:paraId="48501135" w14:textId="353E9EFB" w:rsidR="00D42F1C" w:rsidRPr="00D42F1C" w:rsidRDefault="00D42F1C" w:rsidP="0042571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D42F1C">
              <w:rPr>
                <w:sz w:val="20"/>
                <w:szCs w:val="20"/>
                <w:highlight w:val="yellow"/>
              </w:rPr>
              <w:t>There is a functioning IFRC bank account at the CD level.</w:t>
            </w:r>
          </w:p>
        </w:tc>
        <w:sdt>
          <w:sdtPr>
            <w:rPr>
              <w:sz w:val="20"/>
              <w:szCs w:val="20"/>
              <w:highlight w:val="yellow"/>
            </w:rPr>
            <w:id w:val="130172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42B1061B" w14:textId="24868AB9" w:rsidR="00D42F1C" w:rsidRPr="00D42F1C" w:rsidRDefault="00D42F1C" w:rsidP="006932BE">
                <w:pPr>
                  <w:rPr>
                    <w:sz w:val="20"/>
                    <w:szCs w:val="20"/>
                    <w:highlight w:val="yellow"/>
                  </w:rPr>
                </w:pPr>
                <w:r w:rsidRPr="00D42F1C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FFFF00"/>
          </w:tcPr>
          <w:p w14:paraId="1C440A36" w14:textId="77777777" w:rsidR="00D42F1C" w:rsidRPr="00D42F1C" w:rsidRDefault="00D42F1C" w:rsidP="006932BE">
            <w:pPr>
              <w:rPr>
                <w:sz w:val="20"/>
                <w:szCs w:val="20"/>
                <w:highlight w:val="yellow"/>
              </w:rPr>
            </w:pPr>
          </w:p>
        </w:tc>
      </w:tr>
      <w:tr w:rsidR="00D42F1C" w:rsidRPr="006932BE" w14:paraId="4007C39C" w14:textId="77777777" w:rsidTr="003F65C1">
        <w:tc>
          <w:tcPr>
            <w:tcW w:w="3151" w:type="dxa"/>
            <w:vMerge/>
            <w:shd w:val="clear" w:color="auto" w:fill="FFFFFF" w:themeFill="background1"/>
          </w:tcPr>
          <w:p w14:paraId="71FBB1D1" w14:textId="77777777" w:rsidR="00D42F1C" w:rsidRDefault="00D42F1C" w:rsidP="00A11ECD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5FE19D07" w14:textId="15EE61B3" w:rsidR="00D42F1C" w:rsidRPr="00D42F1C" w:rsidRDefault="00D42F1C" w:rsidP="00A11EC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D42F1C">
              <w:rPr>
                <w:sz w:val="20"/>
                <w:szCs w:val="20"/>
                <w:highlight w:val="yellow"/>
              </w:rPr>
              <w:t>If there is no bank account at CD level, there is a bank account at CCD level or through the NS.</w:t>
            </w:r>
            <w:r w:rsidRPr="00D42F1C">
              <w:rPr>
                <w:rStyle w:val="EndnoteReference"/>
                <w:sz w:val="20"/>
                <w:szCs w:val="20"/>
                <w:highlight w:val="yellow"/>
              </w:rPr>
              <w:endnoteReference w:id="11"/>
            </w:r>
          </w:p>
        </w:tc>
        <w:sdt>
          <w:sdtPr>
            <w:rPr>
              <w:sz w:val="20"/>
              <w:szCs w:val="20"/>
              <w:highlight w:val="yellow"/>
            </w:rPr>
            <w:id w:val="-132481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6D520A5B" w14:textId="6CBC085A" w:rsidR="00D42F1C" w:rsidRPr="00D42F1C" w:rsidRDefault="00D42F1C" w:rsidP="00A11ECD">
                <w:pPr>
                  <w:rPr>
                    <w:sz w:val="20"/>
                    <w:szCs w:val="20"/>
                    <w:highlight w:val="yellow"/>
                  </w:rPr>
                </w:pPr>
                <w:r w:rsidRPr="00D42F1C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FFFF00"/>
          </w:tcPr>
          <w:p w14:paraId="7F6425B6" w14:textId="77777777" w:rsidR="00D42F1C" w:rsidRPr="00D42F1C" w:rsidRDefault="00D42F1C" w:rsidP="00A11ECD">
            <w:pPr>
              <w:rPr>
                <w:sz w:val="20"/>
                <w:szCs w:val="20"/>
                <w:highlight w:val="yellow"/>
              </w:rPr>
            </w:pPr>
          </w:p>
        </w:tc>
      </w:tr>
      <w:tr w:rsidR="00D42F1C" w:rsidRPr="006932BE" w14:paraId="4F882750" w14:textId="77777777" w:rsidTr="003F65C1">
        <w:tc>
          <w:tcPr>
            <w:tcW w:w="3151" w:type="dxa"/>
            <w:vMerge/>
            <w:shd w:val="clear" w:color="auto" w:fill="FFFFFF" w:themeFill="background1"/>
          </w:tcPr>
          <w:p w14:paraId="4F1182F5" w14:textId="77777777" w:rsidR="00D42F1C" w:rsidRDefault="00D42F1C" w:rsidP="00A11ECD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6DD9D2C8" w14:textId="4C252AD2" w:rsidR="00D42F1C" w:rsidRPr="00D42F1C" w:rsidRDefault="00D42F1C" w:rsidP="00A11EC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D42F1C">
              <w:rPr>
                <w:sz w:val="20"/>
                <w:szCs w:val="20"/>
                <w:highlight w:val="yellow"/>
              </w:rPr>
              <w:t>There are no impediments to transferring funds into the country.</w:t>
            </w:r>
          </w:p>
        </w:tc>
        <w:sdt>
          <w:sdtPr>
            <w:rPr>
              <w:sz w:val="20"/>
              <w:szCs w:val="20"/>
              <w:highlight w:val="yellow"/>
            </w:rPr>
            <w:id w:val="-199332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5878446E" w14:textId="28F7415D" w:rsidR="00D42F1C" w:rsidRPr="00D42F1C" w:rsidRDefault="00D42F1C" w:rsidP="00A11ECD">
                <w:pPr>
                  <w:rPr>
                    <w:sz w:val="20"/>
                    <w:szCs w:val="20"/>
                    <w:highlight w:val="yellow"/>
                  </w:rPr>
                </w:pPr>
                <w:r w:rsidRPr="00D42F1C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FFFF00"/>
          </w:tcPr>
          <w:p w14:paraId="18E620E1" w14:textId="77777777" w:rsidR="00D42F1C" w:rsidRPr="00D42F1C" w:rsidRDefault="00D42F1C" w:rsidP="00A11ECD">
            <w:pPr>
              <w:rPr>
                <w:sz w:val="20"/>
                <w:szCs w:val="20"/>
                <w:highlight w:val="yellow"/>
              </w:rPr>
            </w:pPr>
          </w:p>
        </w:tc>
      </w:tr>
      <w:tr w:rsidR="00D42F1C" w:rsidRPr="006932BE" w14:paraId="00BB9338" w14:textId="77777777" w:rsidTr="003F65C1">
        <w:tc>
          <w:tcPr>
            <w:tcW w:w="3151" w:type="dxa"/>
            <w:vMerge/>
            <w:shd w:val="clear" w:color="auto" w:fill="FFFFFF" w:themeFill="background1"/>
          </w:tcPr>
          <w:p w14:paraId="3FFBDAA1" w14:textId="77777777" w:rsidR="00D42F1C" w:rsidRDefault="00D42F1C" w:rsidP="00A11ECD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3BFF3BD7" w14:textId="20B855B8" w:rsidR="00D42F1C" w:rsidRPr="00D42F1C" w:rsidRDefault="00D42F1C" w:rsidP="0042571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D42F1C">
              <w:rPr>
                <w:sz w:val="20"/>
                <w:szCs w:val="20"/>
                <w:highlight w:val="yellow"/>
              </w:rPr>
              <w:t>Where there are impediments (e.g. sanctions), there is a</w:t>
            </w:r>
            <w:r w:rsidR="007D5DF9">
              <w:rPr>
                <w:sz w:val="20"/>
                <w:szCs w:val="20"/>
                <w:highlight w:val="yellow"/>
              </w:rPr>
              <w:t>n a</w:t>
            </w:r>
            <w:r w:rsidR="001F4763">
              <w:rPr>
                <w:sz w:val="20"/>
                <w:szCs w:val="20"/>
                <w:highlight w:val="yellow"/>
              </w:rPr>
              <w:t>greed</w:t>
            </w:r>
            <w:r w:rsidRPr="00D42F1C">
              <w:rPr>
                <w:sz w:val="20"/>
                <w:szCs w:val="20"/>
                <w:highlight w:val="yellow"/>
              </w:rPr>
              <w:t xml:space="preserve"> plan</w:t>
            </w:r>
            <w:r w:rsidR="001F4763">
              <w:rPr>
                <w:sz w:val="20"/>
                <w:szCs w:val="20"/>
                <w:highlight w:val="yellow"/>
              </w:rPr>
              <w:t xml:space="preserve"> (fin</w:t>
            </w:r>
            <w:r w:rsidR="00F018B4">
              <w:rPr>
                <w:sz w:val="20"/>
                <w:szCs w:val="20"/>
                <w:highlight w:val="yellow"/>
              </w:rPr>
              <w:t>ance</w:t>
            </w:r>
            <w:r w:rsidR="001F4763">
              <w:rPr>
                <w:sz w:val="20"/>
                <w:szCs w:val="20"/>
                <w:highlight w:val="yellow"/>
              </w:rPr>
              <w:t>/leg</w:t>
            </w:r>
            <w:r w:rsidR="00F018B4">
              <w:rPr>
                <w:sz w:val="20"/>
                <w:szCs w:val="20"/>
                <w:highlight w:val="yellow"/>
              </w:rPr>
              <w:t>al</w:t>
            </w:r>
            <w:r w:rsidR="001F4763">
              <w:rPr>
                <w:sz w:val="20"/>
                <w:szCs w:val="20"/>
                <w:highlight w:val="yellow"/>
              </w:rPr>
              <w:t>/regional management)</w:t>
            </w:r>
            <w:r w:rsidR="008870C0">
              <w:rPr>
                <w:sz w:val="20"/>
                <w:szCs w:val="20"/>
                <w:highlight w:val="yellow"/>
              </w:rPr>
              <w:t xml:space="preserve"> including a risk management </w:t>
            </w:r>
            <w:r w:rsidR="00947A1C">
              <w:rPr>
                <w:sz w:val="20"/>
                <w:szCs w:val="20"/>
                <w:highlight w:val="yellow"/>
              </w:rPr>
              <w:t>assessment</w:t>
            </w:r>
            <w:r w:rsidR="00F018B4">
              <w:rPr>
                <w:sz w:val="20"/>
                <w:szCs w:val="20"/>
                <w:highlight w:val="yellow"/>
              </w:rPr>
              <w:t>,</w:t>
            </w:r>
            <w:r w:rsidRPr="00D42F1C">
              <w:rPr>
                <w:sz w:val="20"/>
                <w:szCs w:val="20"/>
                <w:highlight w:val="yellow"/>
              </w:rPr>
              <w:t xml:space="preserve"> for getting money into the country</w:t>
            </w:r>
            <w:r w:rsidR="00873C0D">
              <w:rPr>
                <w:sz w:val="20"/>
                <w:szCs w:val="20"/>
                <w:highlight w:val="yellow"/>
              </w:rPr>
              <w:t xml:space="preserve"> and for withdrawing money </w:t>
            </w:r>
            <w:r w:rsidR="004933F4">
              <w:rPr>
                <w:sz w:val="20"/>
                <w:szCs w:val="20"/>
                <w:highlight w:val="yellow"/>
              </w:rPr>
              <w:t>from the bank</w:t>
            </w:r>
            <w:r w:rsidRPr="00D42F1C">
              <w:rPr>
                <w:sz w:val="20"/>
                <w:szCs w:val="20"/>
                <w:highlight w:val="yellow"/>
              </w:rPr>
              <w:t>.</w:t>
            </w:r>
            <w:r w:rsidRPr="00D42F1C">
              <w:rPr>
                <w:rStyle w:val="EndnoteReference"/>
                <w:sz w:val="20"/>
                <w:szCs w:val="20"/>
                <w:highlight w:val="yellow"/>
              </w:rPr>
              <w:endnoteReference w:id="12"/>
            </w:r>
          </w:p>
        </w:tc>
        <w:sdt>
          <w:sdtPr>
            <w:rPr>
              <w:sz w:val="20"/>
              <w:szCs w:val="20"/>
              <w:highlight w:val="yellow"/>
            </w:rPr>
            <w:id w:val="162989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49A7696B" w14:textId="32E102D4" w:rsidR="00D42F1C" w:rsidRPr="00D42F1C" w:rsidRDefault="00D42F1C" w:rsidP="00A11ECD">
                <w:pPr>
                  <w:rPr>
                    <w:sz w:val="20"/>
                    <w:szCs w:val="20"/>
                    <w:highlight w:val="yellow"/>
                  </w:rPr>
                </w:pPr>
                <w:r w:rsidRPr="00D42F1C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FFFF00"/>
          </w:tcPr>
          <w:p w14:paraId="3683FE32" w14:textId="77777777" w:rsidR="00D42F1C" w:rsidRPr="00D42F1C" w:rsidRDefault="00D42F1C" w:rsidP="00A11ECD">
            <w:pPr>
              <w:rPr>
                <w:sz w:val="20"/>
                <w:szCs w:val="20"/>
                <w:highlight w:val="yellow"/>
              </w:rPr>
            </w:pPr>
          </w:p>
        </w:tc>
      </w:tr>
      <w:tr w:rsidR="00D42F1C" w:rsidRPr="006932BE" w14:paraId="5719E656" w14:textId="77777777" w:rsidTr="007618EE">
        <w:tc>
          <w:tcPr>
            <w:tcW w:w="3151" w:type="dxa"/>
            <w:vMerge/>
            <w:shd w:val="clear" w:color="auto" w:fill="FFFFFF" w:themeFill="background1"/>
          </w:tcPr>
          <w:p w14:paraId="27539EAD" w14:textId="77777777" w:rsidR="00D42F1C" w:rsidRDefault="00D42F1C" w:rsidP="00A11ECD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14:paraId="4DFB1F20" w14:textId="791844B2" w:rsidR="00D42F1C" w:rsidRPr="007618EE" w:rsidRDefault="00CB179F" w:rsidP="00A11EC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42F1C" w:rsidRPr="007618EE">
              <w:rPr>
                <w:sz w:val="20"/>
                <w:szCs w:val="20"/>
              </w:rPr>
              <w:t>here is clarity on the use of different currencies in the country.</w:t>
            </w:r>
          </w:p>
        </w:tc>
        <w:sdt>
          <w:sdtPr>
            <w:rPr>
              <w:sz w:val="20"/>
              <w:szCs w:val="20"/>
            </w:rPr>
            <w:id w:val="-9363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35E5E505" w14:textId="1CBCAE6A" w:rsidR="00D42F1C" w:rsidRPr="007618EE" w:rsidRDefault="00D42F1C" w:rsidP="00A11ECD">
                <w:pPr>
                  <w:rPr>
                    <w:sz w:val="20"/>
                    <w:szCs w:val="20"/>
                  </w:rPr>
                </w:pPr>
                <w:r w:rsidRPr="007618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auto"/>
          </w:tcPr>
          <w:p w14:paraId="4F8FB4DA" w14:textId="77777777" w:rsidR="00D42F1C" w:rsidRPr="007618EE" w:rsidRDefault="00D42F1C" w:rsidP="00A11ECD">
            <w:pPr>
              <w:rPr>
                <w:sz w:val="20"/>
                <w:szCs w:val="20"/>
              </w:rPr>
            </w:pPr>
          </w:p>
        </w:tc>
      </w:tr>
      <w:tr w:rsidR="00D42F1C" w:rsidRPr="006932BE" w14:paraId="418945F6" w14:textId="77777777" w:rsidTr="00D74319">
        <w:tc>
          <w:tcPr>
            <w:tcW w:w="3151" w:type="dxa"/>
            <w:vMerge/>
            <w:shd w:val="clear" w:color="auto" w:fill="FFFFFF" w:themeFill="background1"/>
          </w:tcPr>
          <w:p w14:paraId="0CE83772" w14:textId="77777777" w:rsidR="00D42F1C" w:rsidRDefault="00D42F1C" w:rsidP="00A11ECD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14:paraId="43A3D487" w14:textId="5B7C83F3" w:rsidR="00D42F1C" w:rsidRPr="00D42F1C" w:rsidRDefault="00D42F1C" w:rsidP="00D42F1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42F1C">
              <w:rPr>
                <w:sz w:val="20"/>
                <w:szCs w:val="20"/>
              </w:rPr>
              <w:t>IFRC thresholds for in-country payments have been reviewed to reflect the frequency and severity of predictable emergencies, and the separation of functions.</w:t>
            </w:r>
          </w:p>
        </w:tc>
        <w:sdt>
          <w:sdtPr>
            <w:rPr>
              <w:sz w:val="20"/>
              <w:szCs w:val="20"/>
            </w:rPr>
            <w:id w:val="-15615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7F1D052A" w14:textId="512DB83D" w:rsidR="00D42F1C" w:rsidRPr="00D42F1C" w:rsidRDefault="00D42F1C" w:rsidP="00A11ECD">
                <w:pPr>
                  <w:rPr>
                    <w:sz w:val="20"/>
                    <w:szCs w:val="20"/>
                    <w:highlight w:val="yellow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auto"/>
          </w:tcPr>
          <w:p w14:paraId="175C0DC7" w14:textId="77777777" w:rsidR="00D42F1C" w:rsidRPr="00D42F1C" w:rsidRDefault="00D42F1C" w:rsidP="00A11ECD">
            <w:pPr>
              <w:rPr>
                <w:sz w:val="20"/>
                <w:szCs w:val="20"/>
                <w:highlight w:val="yellow"/>
              </w:rPr>
            </w:pPr>
          </w:p>
        </w:tc>
      </w:tr>
      <w:tr w:rsidR="00D42F1C" w:rsidRPr="006932BE" w14:paraId="4B547E4D" w14:textId="77777777" w:rsidTr="00D74319">
        <w:tc>
          <w:tcPr>
            <w:tcW w:w="3151" w:type="dxa"/>
            <w:vMerge/>
            <w:shd w:val="clear" w:color="auto" w:fill="FFFFFF" w:themeFill="background1"/>
          </w:tcPr>
          <w:p w14:paraId="619735CC" w14:textId="77777777" w:rsidR="00D42F1C" w:rsidRDefault="00D42F1C" w:rsidP="00A11ECD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14:paraId="00F7CFDF" w14:textId="7FDCED1A" w:rsidR="00D42F1C" w:rsidRPr="00D42F1C" w:rsidRDefault="00D42F1C" w:rsidP="00D42F1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There is an agreed approach for quickly accessing extra cash if needed in an emergency, either using country reserves or reserves at cluster or regional level.</w:t>
            </w:r>
          </w:p>
        </w:tc>
        <w:sdt>
          <w:sdtPr>
            <w:rPr>
              <w:sz w:val="20"/>
              <w:szCs w:val="20"/>
            </w:rPr>
            <w:id w:val="43411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3DEE3BAF" w14:textId="257C999B" w:rsidR="00D42F1C" w:rsidRDefault="00D42F1C" w:rsidP="00A11ECD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auto"/>
          </w:tcPr>
          <w:p w14:paraId="77747FB7" w14:textId="77777777" w:rsidR="00D42F1C" w:rsidRPr="00D42F1C" w:rsidRDefault="00D42F1C" w:rsidP="00A11ECD">
            <w:pPr>
              <w:rPr>
                <w:sz w:val="20"/>
                <w:szCs w:val="20"/>
                <w:highlight w:val="yellow"/>
              </w:rPr>
            </w:pPr>
          </w:p>
        </w:tc>
      </w:tr>
      <w:tr w:rsidR="00D42F1C" w:rsidRPr="006932BE" w14:paraId="2BA8FCA1" w14:textId="77777777" w:rsidTr="00D74319">
        <w:tc>
          <w:tcPr>
            <w:tcW w:w="3151" w:type="dxa"/>
            <w:vMerge/>
            <w:shd w:val="clear" w:color="auto" w:fill="FFFFFF" w:themeFill="background1"/>
          </w:tcPr>
          <w:p w14:paraId="360FB318" w14:textId="77777777" w:rsidR="00D42F1C" w:rsidRDefault="00D42F1C" w:rsidP="00A11ECD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14:paraId="13565F69" w14:textId="5BE3D4A6" w:rsidR="00D42F1C" w:rsidRPr="00D42F1C" w:rsidRDefault="00D42F1C" w:rsidP="00D42F1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rFonts w:cstheme="minorHAnsi"/>
                <w:sz w:val="20"/>
                <w:szCs w:val="20"/>
              </w:rPr>
              <w:t>The IFRC has a</w:t>
            </w:r>
            <w:r w:rsidR="00B741F1">
              <w:rPr>
                <w:rFonts w:cstheme="minorHAnsi"/>
                <w:sz w:val="20"/>
                <w:szCs w:val="20"/>
              </w:rPr>
              <w:t xml:space="preserve"> framework</w:t>
            </w:r>
            <w:r w:rsidRPr="006932BE">
              <w:rPr>
                <w:rFonts w:cstheme="minorHAnsi"/>
                <w:sz w:val="20"/>
                <w:szCs w:val="20"/>
              </w:rPr>
              <w:t xml:space="preserve"> funding agreement with the National Society</w:t>
            </w:r>
            <w:r w:rsidR="00B741F1">
              <w:rPr>
                <w:rFonts w:cstheme="minorHAnsi"/>
                <w:sz w:val="20"/>
                <w:szCs w:val="20"/>
              </w:rPr>
              <w:t xml:space="preserve"> (</w:t>
            </w:r>
            <w:r w:rsidR="0007363C">
              <w:rPr>
                <w:rFonts w:cstheme="minorHAnsi"/>
                <w:sz w:val="20"/>
                <w:szCs w:val="20"/>
              </w:rPr>
              <w:t>to come in</w:t>
            </w:r>
            <w:r w:rsidR="00B741F1">
              <w:rPr>
                <w:rFonts w:cstheme="minorHAnsi"/>
                <w:sz w:val="20"/>
                <w:szCs w:val="20"/>
              </w:rPr>
              <w:t xml:space="preserve"> 2025)</w:t>
            </w:r>
            <w:r w:rsidR="003F65C1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88289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739701C1" w14:textId="44DF580D" w:rsidR="00D42F1C" w:rsidRDefault="00D42F1C" w:rsidP="00A11ECD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6" w:type="dxa"/>
            <w:shd w:val="clear" w:color="auto" w:fill="auto"/>
          </w:tcPr>
          <w:p w14:paraId="032B3550" w14:textId="77777777" w:rsidR="00D42F1C" w:rsidRPr="00D42F1C" w:rsidRDefault="00D42F1C" w:rsidP="00A11ECD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65F10BED" w14:textId="77777777" w:rsidR="00CA5D4B" w:rsidRPr="006932BE" w:rsidRDefault="00CA5D4B" w:rsidP="00856106">
      <w:pPr>
        <w:rPr>
          <w:b/>
          <w:sz w:val="20"/>
          <w:szCs w:val="20"/>
        </w:rPr>
      </w:pP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8789"/>
        <w:gridCol w:w="850"/>
        <w:gridCol w:w="2693"/>
      </w:tblGrid>
      <w:tr w:rsidR="00D42F1C" w:rsidRPr="006932BE" w14:paraId="32060CFB" w14:textId="77777777" w:rsidTr="00D42F1C">
        <w:tc>
          <w:tcPr>
            <w:tcW w:w="3119" w:type="dxa"/>
            <w:vMerge w:val="restart"/>
            <w:shd w:val="clear" w:color="auto" w:fill="FFFFFF" w:themeFill="background1"/>
          </w:tcPr>
          <w:p w14:paraId="7EFF8F23" w14:textId="71C41549" w:rsidR="00D42F1C" w:rsidRPr="006932BE" w:rsidRDefault="00D42F1C" w:rsidP="006932BE">
            <w:pPr>
              <w:rPr>
                <w:sz w:val="20"/>
                <w:szCs w:val="20"/>
              </w:rPr>
            </w:pPr>
            <w:r w:rsidRPr="006932BE">
              <w:rPr>
                <w:b/>
                <w:sz w:val="20"/>
                <w:szCs w:val="20"/>
              </w:rPr>
              <w:t>Human Resources</w:t>
            </w:r>
          </w:p>
        </w:tc>
        <w:tc>
          <w:tcPr>
            <w:tcW w:w="8789" w:type="dxa"/>
            <w:shd w:val="clear" w:color="auto" w:fill="FFFF00"/>
          </w:tcPr>
          <w:p w14:paraId="2D233A03" w14:textId="69C77122" w:rsidR="00D42F1C" w:rsidRPr="00D42F1C" w:rsidRDefault="00D42F1C" w:rsidP="00D42F1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The delegation has</w:t>
            </w:r>
            <w:r>
              <w:rPr>
                <w:sz w:val="20"/>
                <w:szCs w:val="20"/>
              </w:rPr>
              <w:t xml:space="preserve"> a l</w:t>
            </w:r>
            <w:r w:rsidRPr="00D42F1C">
              <w:rPr>
                <w:sz w:val="20"/>
                <w:szCs w:val="20"/>
              </w:rPr>
              <w:t>ist of visa requirements for different nationalities</w:t>
            </w:r>
            <w:r w:rsidR="00016654">
              <w:rPr>
                <w:sz w:val="20"/>
                <w:szCs w:val="20"/>
              </w:rPr>
              <w:t xml:space="preserve"> and</w:t>
            </w:r>
            <w:r w:rsidR="007E752A">
              <w:rPr>
                <w:sz w:val="20"/>
                <w:szCs w:val="20"/>
              </w:rPr>
              <w:t xml:space="preserve"> maintains a tracking document </w:t>
            </w:r>
            <w:r w:rsidR="00EA751F">
              <w:rPr>
                <w:sz w:val="20"/>
                <w:szCs w:val="20"/>
              </w:rPr>
              <w:t>of</w:t>
            </w:r>
            <w:r w:rsidR="004A4EFC">
              <w:rPr>
                <w:sz w:val="20"/>
                <w:szCs w:val="20"/>
              </w:rPr>
              <w:t xml:space="preserve"> recent</w:t>
            </w:r>
            <w:r w:rsidR="00EA751F">
              <w:rPr>
                <w:sz w:val="20"/>
                <w:szCs w:val="20"/>
              </w:rPr>
              <w:t xml:space="preserve"> timeframes for obtaining a visa</w:t>
            </w:r>
            <w:r w:rsidR="0023797C">
              <w:rPr>
                <w:sz w:val="20"/>
                <w:szCs w:val="20"/>
              </w:rPr>
              <w:t xml:space="preserve"> for different nationalities</w:t>
            </w:r>
            <w:r>
              <w:rPr>
                <w:sz w:val="20"/>
                <w:szCs w:val="20"/>
              </w:rPr>
              <w:t>.</w:t>
            </w:r>
            <w:r w:rsidRPr="00D42F1C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51954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3B754827" w14:textId="36384F38" w:rsidR="00D42F1C" w:rsidRPr="006932BE" w:rsidRDefault="00D42F1C" w:rsidP="006932BE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1D5DC973" w14:textId="77777777" w:rsidR="00D42F1C" w:rsidRPr="006932BE" w:rsidRDefault="00D42F1C" w:rsidP="006932BE">
            <w:pPr>
              <w:rPr>
                <w:sz w:val="20"/>
                <w:szCs w:val="20"/>
              </w:rPr>
            </w:pPr>
          </w:p>
        </w:tc>
      </w:tr>
      <w:tr w:rsidR="00D42F1C" w:rsidRPr="006932BE" w14:paraId="6A00A2F6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3F7FD375" w14:textId="77777777" w:rsidR="00D42F1C" w:rsidRPr="006932BE" w:rsidRDefault="00D42F1C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25DFF4E4" w14:textId="2E374C9F" w:rsidR="00D42F1C" w:rsidRPr="006932BE" w:rsidRDefault="00D42F1C" w:rsidP="00D42F1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delegation has </w:t>
            </w:r>
            <w:r w:rsidRPr="006932BE">
              <w:rPr>
                <w:sz w:val="20"/>
                <w:szCs w:val="20"/>
              </w:rPr>
              <w:t>a contact at the relevant government ministry</w:t>
            </w:r>
            <w:r w:rsidR="0073763B">
              <w:rPr>
                <w:sz w:val="20"/>
                <w:szCs w:val="20"/>
              </w:rPr>
              <w:t xml:space="preserve"> that handles visas</w:t>
            </w:r>
            <w:r w:rsidRPr="006932BE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33206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1BC289F3" w14:textId="34F20202" w:rsidR="00D42F1C" w:rsidRDefault="00E04E4B" w:rsidP="006932BE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1132EED2" w14:textId="77777777" w:rsidR="00D42F1C" w:rsidRPr="006932BE" w:rsidRDefault="00D42F1C" w:rsidP="006932BE">
            <w:pPr>
              <w:rPr>
                <w:sz w:val="20"/>
                <w:szCs w:val="20"/>
              </w:rPr>
            </w:pPr>
          </w:p>
        </w:tc>
      </w:tr>
      <w:tr w:rsidR="001F586C" w:rsidRPr="006932BE" w14:paraId="74ED0FAE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0A5B261A" w14:textId="77777777" w:rsidR="001F586C" w:rsidRPr="006932BE" w:rsidRDefault="001F586C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65D17934" w14:textId="3A4040D7" w:rsidR="001F586C" w:rsidRDefault="003D01EC" w:rsidP="00D42F1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</w:t>
            </w:r>
            <w:r w:rsidR="0031111F">
              <w:rPr>
                <w:sz w:val="20"/>
                <w:szCs w:val="20"/>
              </w:rPr>
              <w:t>in the office are aware that they may be required to support emergency operations</w:t>
            </w:r>
            <w:r w:rsidR="0082289D">
              <w:rPr>
                <w:sz w:val="20"/>
                <w:szCs w:val="20"/>
              </w:rPr>
              <w:t>, and this is included in their Job Description</w:t>
            </w:r>
            <w:r w:rsidR="0065439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FFFF00"/>
          </w:tcPr>
          <w:p w14:paraId="30239DDA" w14:textId="77777777" w:rsidR="001F586C" w:rsidRDefault="001F586C" w:rsidP="006932B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14:paraId="616B857E" w14:textId="77777777" w:rsidR="001F586C" w:rsidRPr="006932BE" w:rsidRDefault="001F586C" w:rsidP="006932BE">
            <w:pPr>
              <w:rPr>
                <w:sz w:val="20"/>
                <w:szCs w:val="20"/>
              </w:rPr>
            </w:pPr>
          </w:p>
        </w:tc>
      </w:tr>
      <w:tr w:rsidR="00D42F1C" w:rsidRPr="006932BE" w14:paraId="06CD0D27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1810FAEC" w14:textId="77777777" w:rsidR="00D42F1C" w:rsidRPr="006932BE" w:rsidRDefault="00D42F1C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5E76FB69" w14:textId="037E440C" w:rsidR="00D42F1C" w:rsidRPr="006932BE" w:rsidRDefault="00D42F1C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The delegation has a basic induction plan for staff arriving in an emergency (e.g., country context, local NS, IFRC operation, security etc.)</w:t>
            </w:r>
          </w:p>
        </w:tc>
        <w:sdt>
          <w:sdtPr>
            <w:rPr>
              <w:sz w:val="20"/>
              <w:szCs w:val="20"/>
            </w:rPr>
            <w:id w:val="97949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1597D685" w14:textId="22406150" w:rsidR="00D42F1C" w:rsidRPr="006932BE" w:rsidRDefault="00654399" w:rsidP="006932BE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7D0D6AF4" w14:textId="77777777" w:rsidR="00D42F1C" w:rsidRPr="006932BE" w:rsidRDefault="00D42F1C" w:rsidP="006932BE">
            <w:pPr>
              <w:rPr>
                <w:sz w:val="20"/>
                <w:szCs w:val="20"/>
              </w:rPr>
            </w:pPr>
          </w:p>
        </w:tc>
      </w:tr>
      <w:tr w:rsidR="00D42F1C" w:rsidRPr="006932BE" w14:paraId="2F3503B4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6800CB45" w14:textId="77777777" w:rsidR="00D42F1C" w:rsidRPr="006932BE" w:rsidRDefault="00D42F1C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0183124D" w14:textId="2F70223D" w:rsidR="00D42F1C" w:rsidRPr="006932BE" w:rsidRDefault="00D058B9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there is a Legal Status Agreement</w:t>
            </w:r>
            <w:r w:rsidR="003F65C1">
              <w:rPr>
                <w:sz w:val="20"/>
                <w:szCs w:val="20"/>
              </w:rPr>
              <w:t xml:space="preserve"> (LSA)</w:t>
            </w:r>
            <w:r>
              <w:rPr>
                <w:sz w:val="20"/>
                <w:szCs w:val="20"/>
              </w:rPr>
              <w:t xml:space="preserve"> in the country, t</w:t>
            </w:r>
            <w:r w:rsidR="00D42F1C" w:rsidRPr="006932BE">
              <w:rPr>
                <w:sz w:val="20"/>
                <w:szCs w:val="20"/>
              </w:rPr>
              <w:t>he delegation understands the IFRC contracting procedures for recruiting staff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60142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1C61CD98" w14:textId="520932DD" w:rsidR="00D42F1C" w:rsidRPr="006932BE" w:rsidRDefault="00D42F1C" w:rsidP="006932BE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6F190DD8" w14:textId="77777777" w:rsidR="00D42F1C" w:rsidRPr="006932BE" w:rsidRDefault="00D42F1C" w:rsidP="006932BE">
            <w:pPr>
              <w:rPr>
                <w:sz w:val="20"/>
                <w:szCs w:val="20"/>
              </w:rPr>
            </w:pPr>
          </w:p>
        </w:tc>
      </w:tr>
      <w:tr w:rsidR="00D058B9" w:rsidRPr="006932BE" w14:paraId="1B84AD64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10321CE3" w14:textId="77777777" w:rsidR="00D058B9" w:rsidRPr="006932BE" w:rsidRDefault="00D058B9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6D8AF805" w14:textId="39DDA983" w:rsidR="00D058B9" w:rsidRDefault="00D058B9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there is no L</w:t>
            </w:r>
            <w:r w:rsidR="003F65C1">
              <w:rPr>
                <w:sz w:val="20"/>
                <w:szCs w:val="20"/>
              </w:rPr>
              <w:t>SA</w:t>
            </w:r>
            <w:r>
              <w:rPr>
                <w:sz w:val="20"/>
                <w:szCs w:val="20"/>
              </w:rPr>
              <w:t xml:space="preserve"> in the country, the delegation has identified an alternative hiring process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NS recruits on our behalf with agreed salary scale, use of employment agency etc.)</w:t>
            </w:r>
          </w:p>
        </w:tc>
        <w:tc>
          <w:tcPr>
            <w:tcW w:w="850" w:type="dxa"/>
            <w:shd w:val="clear" w:color="auto" w:fill="FFFF00"/>
          </w:tcPr>
          <w:p w14:paraId="0759C391" w14:textId="77777777" w:rsidR="00D058B9" w:rsidRDefault="00D058B9" w:rsidP="006932B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14:paraId="19B04CF2" w14:textId="77777777" w:rsidR="00D058B9" w:rsidRPr="006932BE" w:rsidRDefault="00D058B9" w:rsidP="006932BE">
            <w:pPr>
              <w:rPr>
                <w:sz w:val="20"/>
                <w:szCs w:val="20"/>
              </w:rPr>
            </w:pPr>
          </w:p>
        </w:tc>
      </w:tr>
      <w:tr w:rsidR="00D42F1C" w:rsidRPr="006932BE" w14:paraId="4A6D3068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5266CEE4" w14:textId="77777777" w:rsidR="00D42F1C" w:rsidRPr="006932BE" w:rsidRDefault="00D42F1C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4D1BD19A" w14:textId="59E6D5A7" w:rsidR="00D42F1C" w:rsidRPr="006932BE" w:rsidRDefault="00D42F1C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If applicable, there is a contract with a local hotel to accommodate surge and other personnel.</w:t>
            </w:r>
          </w:p>
        </w:tc>
        <w:sdt>
          <w:sdtPr>
            <w:rPr>
              <w:sz w:val="20"/>
              <w:szCs w:val="20"/>
            </w:rPr>
            <w:id w:val="-212137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3F44D371" w14:textId="079F59A3" w:rsidR="00D42F1C" w:rsidRPr="006932BE" w:rsidRDefault="00D42F1C" w:rsidP="006932BE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4E706F5D" w14:textId="77777777" w:rsidR="00D42F1C" w:rsidRPr="006932BE" w:rsidRDefault="00D42F1C" w:rsidP="006932BE">
            <w:pPr>
              <w:rPr>
                <w:sz w:val="20"/>
                <w:szCs w:val="20"/>
              </w:rPr>
            </w:pPr>
          </w:p>
        </w:tc>
      </w:tr>
      <w:tr w:rsidR="00E04E4B" w:rsidRPr="006932BE" w14:paraId="494002AA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59191403" w14:textId="77777777" w:rsidR="00E04E4B" w:rsidRPr="006932BE" w:rsidRDefault="00E04E4B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32218BE9" w14:textId="74B61C79" w:rsidR="00E04E4B" w:rsidRPr="006932BE" w:rsidRDefault="007A1D61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04E4B">
              <w:rPr>
                <w:sz w:val="20"/>
                <w:szCs w:val="20"/>
              </w:rPr>
              <w:t xml:space="preserve">taff </w:t>
            </w:r>
            <w:r w:rsidR="00E04E4B" w:rsidRPr="006932BE">
              <w:rPr>
                <w:sz w:val="20"/>
                <w:szCs w:val="20"/>
              </w:rPr>
              <w:t xml:space="preserve">who may be deployed as surge have done the mandatory </w:t>
            </w:r>
            <w:hyperlink r:id="rId20" w:history="1">
              <w:r w:rsidR="006F5A09" w:rsidRPr="006F5A09">
                <w:rPr>
                  <w:rStyle w:val="Hyperlink"/>
                  <w:sz w:val="20"/>
                  <w:szCs w:val="20"/>
                </w:rPr>
                <w:t>surge e-learning</w:t>
              </w:r>
            </w:hyperlink>
            <w:r w:rsidR="00E04E4B" w:rsidRPr="006932BE">
              <w:rPr>
                <w:sz w:val="20"/>
                <w:szCs w:val="20"/>
              </w:rPr>
              <w:t xml:space="preserve"> and will participate in relevant trainings when offered.</w:t>
            </w:r>
            <w:r w:rsidR="00E04E4B">
              <w:rPr>
                <w:rStyle w:val="EndnoteReference"/>
                <w:sz w:val="20"/>
                <w:szCs w:val="20"/>
              </w:rPr>
              <w:endnoteReference w:id="13"/>
            </w:r>
          </w:p>
        </w:tc>
        <w:sdt>
          <w:sdtPr>
            <w:rPr>
              <w:sz w:val="20"/>
              <w:szCs w:val="20"/>
            </w:rPr>
            <w:id w:val="203175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4C0134CC" w14:textId="69813C34" w:rsidR="00E04E4B" w:rsidRDefault="00E04E4B" w:rsidP="006932BE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65535711" w14:textId="77777777" w:rsidR="00E04E4B" w:rsidRPr="006932BE" w:rsidRDefault="00E04E4B" w:rsidP="006932BE">
            <w:pPr>
              <w:rPr>
                <w:sz w:val="20"/>
                <w:szCs w:val="20"/>
              </w:rPr>
            </w:pPr>
          </w:p>
        </w:tc>
      </w:tr>
      <w:tr w:rsidR="00D42F1C" w:rsidRPr="006932BE" w14:paraId="379A7220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008E8EF6" w14:textId="77777777" w:rsidR="00D42F1C" w:rsidRPr="006932BE" w:rsidRDefault="00D42F1C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780F35AD" w14:textId="0AA2E83F" w:rsidR="00D42F1C" w:rsidRPr="006932BE" w:rsidRDefault="00D42F1C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The delegation has access to </w:t>
            </w:r>
            <w:r w:rsidR="003C332F">
              <w:rPr>
                <w:sz w:val="20"/>
                <w:szCs w:val="20"/>
              </w:rPr>
              <w:t xml:space="preserve">relevant </w:t>
            </w:r>
            <w:r w:rsidRPr="006932BE">
              <w:rPr>
                <w:sz w:val="20"/>
                <w:szCs w:val="20"/>
              </w:rPr>
              <w:t>equipment</w:t>
            </w:r>
            <w:r w:rsidR="003C332F">
              <w:rPr>
                <w:sz w:val="20"/>
                <w:szCs w:val="20"/>
              </w:rPr>
              <w:t xml:space="preserve">, visibility </w:t>
            </w:r>
            <w:r w:rsidR="00CB79C3">
              <w:rPr>
                <w:sz w:val="20"/>
                <w:szCs w:val="20"/>
              </w:rPr>
              <w:t>material</w:t>
            </w:r>
            <w:r w:rsidRPr="006932BE">
              <w:rPr>
                <w:sz w:val="20"/>
                <w:szCs w:val="20"/>
              </w:rPr>
              <w:t xml:space="preserve"> and medications for personnel who may undertake surge deployments in the country (whether</w:t>
            </w:r>
            <w:r w:rsidR="00CB79C3">
              <w:rPr>
                <w:sz w:val="20"/>
                <w:szCs w:val="20"/>
              </w:rPr>
              <w:t xml:space="preserve"> these are</w:t>
            </w:r>
            <w:r w:rsidRPr="006932BE">
              <w:rPr>
                <w:sz w:val="20"/>
                <w:szCs w:val="20"/>
              </w:rPr>
              <w:t xml:space="preserve"> held in country, or at sub-regional or regional level).</w:t>
            </w:r>
          </w:p>
        </w:tc>
        <w:sdt>
          <w:sdtPr>
            <w:rPr>
              <w:sz w:val="20"/>
              <w:szCs w:val="20"/>
            </w:rPr>
            <w:id w:val="-39111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7A8B2488" w14:textId="4BFFF391" w:rsidR="00D42F1C" w:rsidRPr="006932BE" w:rsidRDefault="00D42F1C" w:rsidP="006932BE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4705765C" w14:textId="77777777" w:rsidR="00D42F1C" w:rsidRPr="006932BE" w:rsidRDefault="00D42F1C" w:rsidP="006932BE">
            <w:pPr>
              <w:rPr>
                <w:sz w:val="20"/>
                <w:szCs w:val="20"/>
              </w:rPr>
            </w:pPr>
          </w:p>
        </w:tc>
      </w:tr>
      <w:tr w:rsidR="00D42F1C" w:rsidRPr="006932BE" w14:paraId="2414A0F3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39A20270" w14:textId="77777777" w:rsidR="00D42F1C" w:rsidRPr="006932BE" w:rsidRDefault="00D42F1C" w:rsidP="006932BE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17444467" w14:textId="4A154FE7" w:rsidR="00D42F1C" w:rsidRPr="006932BE" w:rsidRDefault="00D42F1C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The </w:t>
            </w:r>
            <w:proofErr w:type="spellStart"/>
            <w:r w:rsidRPr="006932BE">
              <w:rPr>
                <w:sz w:val="20"/>
                <w:szCs w:val="20"/>
              </w:rPr>
              <w:t>HoD</w:t>
            </w:r>
            <w:proofErr w:type="spellEnd"/>
            <w:r w:rsidRPr="006932BE">
              <w:rPr>
                <w:sz w:val="20"/>
                <w:szCs w:val="20"/>
              </w:rPr>
              <w:t xml:space="preserve"> is aware</w:t>
            </w:r>
            <w:r w:rsidR="00E04E4B">
              <w:rPr>
                <w:sz w:val="20"/>
                <w:szCs w:val="20"/>
              </w:rPr>
              <w:t xml:space="preserve"> and has discussed with the Ministry of Health</w:t>
            </w:r>
            <w:r w:rsidRPr="006932BE">
              <w:rPr>
                <w:sz w:val="20"/>
                <w:szCs w:val="20"/>
              </w:rPr>
              <w:t xml:space="preserve"> that the acceptance of RC/RC personnel who enter the country to provide clinical care (e.g. as surge/ERU) who are not already licensed and credentialed in the country, must be approved by the Ministry of Health (often through a WHO coordination mechanism.) </w:t>
            </w:r>
          </w:p>
        </w:tc>
        <w:sdt>
          <w:sdtPr>
            <w:rPr>
              <w:sz w:val="20"/>
              <w:szCs w:val="20"/>
            </w:rPr>
            <w:id w:val="-157890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3100E25C" w14:textId="35BA9A1D" w:rsidR="00D42F1C" w:rsidRPr="006932BE" w:rsidRDefault="00D42F1C" w:rsidP="006932BE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09F8AD14" w14:textId="77777777" w:rsidR="00D42F1C" w:rsidRPr="006932BE" w:rsidRDefault="00D42F1C" w:rsidP="006932BE">
            <w:pPr>
              <w:rPr>
                <w:sz w:val="20"/>
                <w:szCs w:val="20"/>
              </w:rPr>
            </w:pPr>
          </w:p>
        </w:tc>
      </w:tr>
      <w:tr w:rsidR="00260E45" w:rsidRPr="006932BE" w14:paraId="35BD727A" w14:textId="77777777" w:rsidTr="00D42F1C">
        <w:tc>
          <w:tcPr>
            <w:tcW w:w="3119" w:type="dxa"/>
            <w:vMerge w:val="restart"/>
            <w:shd w:val="clear" w:color="auto" w:fill="FFFFFF" w:themeFill="background1"/>
          </w:tcPr>
          <w:p w14:paraId="1BE6134E" w14:textId="59B2CA6A" w:rsidR="00260E45" w:rsidRPr="006932BE" w:rsidRDefault="00260E45" w:rsidP="006932BE">
            <w:pPr>
              <w:rPr>
                <w:b/>
                <w:sz w:val="20"/>
                <w:szCs w:val="20"/>
              </w:rPr>
            </w:pPr>
            <w:r w:rsidRPr="006932BE">
              <w:rPr>
                <w:b/>
                <w:bCs/>
                <w:sz w:val="20"/>
                <w:szCs w:val="20"/>
              </w:rPr>
              <w:t>Supply Chain Management</w:t>
            </w:r>
          </w:p>
        </w:tc>
        <w:tc>
          <w:tcPr>
            <w:tcW w:w="8789" w:type="dxa"/>
            <w:shd w:val="clear" w:color="auto" w:fill="FFFF00"/>
          </w:tcPr>
          <w:p w14:paraId="647F4B1C" w14:textId="74C2DFFD" w:rsidR="00260E45" w:rsidRPr="006932BE" w:rsidRDefault="00260E45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There is an agreed list </w:t>
            </w:r>
            <w:r w:rsidR="005A066D">
              <w:rPr>
                <w:sz w:val="20"/>
                <w:szCs w:val="20"/>
              </w:rPr>
              <w:t xml:space="preserve">with the National Society </w:t>
            </w:r>
            <w:r w:rsidRPr="006932BE">
              <w:rPr>
                <w:sz w:val="20"/>
                <w:szCs w:val="20"/>
              </w:rPr>
              <w:t>of typically needed items and required quantity over defined time periods for different emergency scenarios, including vehicle needs.</w:t>
            </w:r>
            <w:r w:rsidR="00A34B50" w:rsidRPr="00A34B50">
              <w:rPr>
                <w:sz w:val="20"/>
                <w:szCs w:val="20"/>
              </w:rPr>
              <w:t xml:space="preserve"> The </w:t>
            </w:r>
            <w:r w:rsidR="005A066D">
              <w:rPr>
                <w:sz w:val="20"/>
                <w:szCs w:val="20"/>
              </w:rPr>
              <w:t>list is coordinated with</w:t>
            </w:r>
            <w:r w:rsidR="00A34B50" w:rsidRPr="00A34B50">
              <w:rPr>
                <w:sz w:val="20"/>
                <w:szCs w:val="20"/>
              </w:rPr>
              <w:t xml:space="preserve"> the National Society, and with the government </w:t>
            </w:r>
            <w:r w:rsidR="005A066D">
              <w:rPr>
                <w:sz w:val="20"/>
                <w:szCs w:val="20"/>
              </w:rPr>
              <w:t>(</w:t>
            </w:r>
            <w:r w:rsidR="00A34B50" w:rsidRPr="00A34B50">
              <w:rPr>
                <w:sz w:val="20"/>
                <w:szCs w:val="20"/>
              </w:rPr>
              <w:t xml:space="preserve">and other agencies </w:t>
            </w:r>
            <w:r w:rsidR="00D63B76">
              <w:rPr>
                <w:sz w:val="20"/>
                <w:szCs w:val="20"/>
              </w:rPr>
              <w:t>if</w:t>
            </w:r>
            <w:r w:rsidR="00B42C37">
              <w:rPr>
                <w:sz w:val="20"/>
                <w:szCs w:val="20"/>
              </w:rPr>
              <w:t xml:space="preserve"> possible</w:t>
            </w:r>
            <w:r w:rsidR="005A066D">
              <w:rPr>
                <w:sz w:val="20"/>
                <w:szCs w:val="20"/>
              </w:rPr>
              <w:t>/ needed.)</w:t>
            </w:r>
            <w:r w:rsidR="00D63B76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53626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02715EB9" w14:textId="5FA3B813" w:rsidR="00260E45" w:rsidRPr="006932BE" w:rsidRDefault="00260E45" w:rsidP="006932BE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524B81C0" w14:textId="77777777" w:rsidR="00260E45" w:rsidRPr="006932BE" w:rsidRDefault="00260E45" w:rsidP="006932BE">
            <w:pPr>
              <w:rPr>
                <w:sz w:val="20"/>
                <w:szCs w:val="20"/>
              </w:rPr>
            </w:pPr>
          </w:p>
        </w:tc>
      </w:tr>
      <w:tr w:rsidR="00277548" w:rsidRPr="006932BE" w14:paraId="61CCF1A0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0C736A86" w14:textId="77777777" w:rsidR="00277548" w:rsidRPr="006932BE" w:rsidRDefault="00277548" w:rsidP="006932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42CA4B5B" w14:textId="7D5BA9AF" w:rsidR="00277548" w:rsidRPr="006932BE" w:rsidRDefault="00277548" w:rsidP="006932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The type and quantity of IFRC</w:t>
            </w:r>
            <w:r w:rsidR="00577DCE">
              <w:rPr>
                <w:sz w:val="20"/>
                <w:szCs w:val="20"/>
              </w:rPr>
              <w:t xml:space="preserve"> local</w:t>
            </w:r>
            <w:r>
              <w:rPr>
                <w:sz w:val="20"/>
                <w:szCs w:val="20"/>
              </w:rPr>
              <w:t xml:space="preserve"> stock holdings</w:t>
            </w:r>
            <w:r w:rsidR="00163E31">
              <w:rPr>
                <w:sz w:val="20"/>
                <w:szCs w:val="20"/>
              </w:rPr>
              <w:t xml:space="preserve"> has been mapped</w:t>
            </w:r>
            <w:r w:rsidR="00B35E80">
              <w:rPr>
                <w:sz w:val="20"/>
                <w:szCs w:val="20"/>
              </w:rPr>
              <w:t>,</w:t>
            </w:r>
            <w:r w:rsidR="00163E31">
              <w:rPr>
                <w:sz w:val="20"/>
                <w:szCs w:val="20"/>
              </w:rPr>
              <w:t xml:space="preserve"> </w:t>
            </w:r>
            <w:r w:rsidR="00CE6102">
              <w:rPr>
                <w:sz w:val="20"/>
                <w:szCs w:val="20"/>
              </w:rPr>
              <w:t xml:space="preserve">along with the stock holdings of the National Society and </w:t>
            </w:r>
            <w:r w:rsidR="00AF0E57">
              <w:rPr>
                <w:sz w:val="20"/>
                <w:szCs w:val="20"/>
              </w:rPr>
              <w:t xml:space="preserve">preferably </w:t>
            </w:r>
            <w:r w:rsidR="00CE6102">
              <w:rPr>
                <w:sz w:val="20"/>
                <w:szCs w:val="20"/>
              </w:rPr>
              <w:t>other Movement components</w:t>
            </w:r>
            <w:r w:rsidR="00AE5D89">
              <w:rPr>
                <w:sz w:val="20"/>
                <w:szCs w:val="20"/>
              </w:rPr>
              <w:t xml:space="preserve"> in the country</w:t>
            </w:r>
            <w:r w:rsidR="00CE6102">
              <w:rPr>
                <w:sz w:val="20"/>
                <w:szCs w:val="20"/>
              </w:rPr>
              <w:t>.  T</w:t>
            </w:r>
            <w:r w:rsidR="00FD186E">
              <w:rPr>
                <w:sz w:val="20"/>
                <w:szCs w:val="20"/>
              </w:rPr>
              <w:t>he delegation has</w:t>
            </w:r>
            <w:r w:rsidR="00AE5D89">
              <w:rPr>
                <w:sz w:val="20"/>
                <w:szCs w:val="20"/>
              </w:rPr>
              <w:t xml:space="preserve"> obtained</w:t>
            </w:r>
            <w:r w:rsidR="00FD186E">
              <w:rPr>
                <w:sz w:val="20"/>
                <w:szCs w:val="20"/>
              </w:rPr>
              <w:t xml:space="preserve"> the </w:t>
            </w:r>
            <w:r w:rsidR="002C7706">
              <w:rPr>
                <w:sz w:val="20"/>
                <w:szCs w:val="20"/>
              </w:rPr>
              <w:t>R</w:t>
            </w:r>
            <w:r w:rsidR="005C2249">
              <w:rPr>
                <w:sz w:val="20"/>
                <w:szCs w:val="20"/>
              </w:rPr>
              <w:t xml:space="preserve">egional </w:t>
            </w:r>
            <w:r w:rsidR="002C7706">
              <w:rPr>
                <w:sz w:val="20"/>
                <w:szCs w:val="20"/>
              </w:rPr>
              <w:t>O</w:t>
            </w:r>
            <w:r w:rsidR="005C2249">
              <w:rPr>
                <w:sz w:val="20"/>
                <w:szCs w:val="20"/>
              </w:rPr>
              <w:t xml:space="preserve">ffice </w:t>
            </w:r>
            <w:r w:rsidR="00FD186E">
              <w:rPr>
                <w:sz w:val="20"/>
                <w:szCs w:val="20"/>
              </w:rPr>
              <w:t>mapping of</w:t>
            </w:r>
            <w:r w:rsidR="00163E31">
              <w:rPr>
                <w:sz w:val="20"/>
                <w:szCs w:val="20"/>
              </w:rPr>
              <w:t xml:space="preserve"> stock holdings</w:t>
            </w:r>
            <w:r w:rsidR="00550E00">
              <w:rPr>
                <w:sz w:val="20"/>
                <w:szCs w:val="20"/>
              </w:rPr>
              <w:t xml:space="preserve"> within the region</w:t>
            </w:r>
            <w:r w:rsidR="002C7706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33843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65B9B022" w14:textId="787EFD75" w:rsidR="00277548" w:rsidRDefault="00277548" w:rsidP="006932BE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1FA6EC88" w14:textId="77777777" w:rsidR="00277548" w:rsidRPr="006932BE" w:rsidRDefault="00277548" w:rsidP="006932BE">
            <w:pPr>
              <w:rPr>
                <w:sz w:val="20"/>
                <w:szCs w:val="20"/>
              </w:rPr>
            </w:pPr>
          </w:p>
        </w:tc>
      </w:tr>
      <w:tr w:rsidR="00347273" w:rsidRPr="006932BE" w14:paraId="01825CE8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35CD6F2A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252E60B9" w14:textId="008C8793" w:rsidR="00347273" w:rsidRPr="006932BE" w:rsidRDefault="00347273" w:rsidP="0034727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6932BE">
              <w:rPr>
                <w:sz w:val="20"/>
                <w:szCs w:val="20"/>
              </w:rPr>
              <w:t>equirements</w:t>
            </w:r>
            <w:r w:rsidR="009D28AC">
              <w:rPr>
                <w:sz w:val="20"/>
                <w:szCs w:val="20"/>
              </w:rPr>
              <w:t xml:space="preserve"> and timeframes</w:t>
            </w:r>
            <w:r w:rsidRPr="006932BE">
              <w:rPr>
                <w:sz w:val="20"/>
                <w:szCs w:val="20"/>
              </w:rPr>
              <w:t xml:space="preserve"> for import purposes are </w:t>
            </w:r>
            <w:r>
              <w:rPr>
                <w:sz w:val="20"/>
                <w:szCs w:val="20"/>
              </w:rPr>
              <w:t>understood</w:t>
            </w:r>
            <w:r w:rsidR="003575E6">
              <w:rPr>
                <w:sz w:val="20"/>
                <w:szCs w:val="20"/>
              </w:rPr>
              <w:t>/ mapped</w:t>
            </w:r>
            <w:r w:rsidRPr="006932BE">
              <w:rPr>
                <w:sz w:val="20"/>
                <w:szCs w:val="20"/>
              </w:rPr>
              <w:t xml:space="preserve"> (e.g., shipping instructions, customs process, customs agent contact.)</w:t>
            </w:r>
          </w:p>
        </w:tc>
        <w:sdt>
          <w:sdtPr>
            <w:rPr>
              <w:sz w:val="20"/>
              <w:szCs w:val="20"/>
            </w:rPr>
            <w:id w:val="-207209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7F41511A" w14:textId="15365F3C" w:rsidR="00347273" w:rsidRPr="006932BE" w:rsidRDefault="00347273" w:rsidP="00347273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07D13F9F" w14:textId="77777777" w:rsidR="00347273" w:rsidRPr="006932BE" w:rsidRDefault="00347273" w:rsidP="00347273">
            <w:pPr>
              <w:rPr>
                <w:sz w:val="20"/>
                <w:szCs w:val="20"/>
              </w:rPr>
            </w:pPr>
          </w:p>
        </w:tc>
      </w:tr>
      <w:tr w:rsidR="00347273" w:rsidRPr="006932BE" w14:paraId="1AAFE95A" w14:textId="77777777" w:rsidTr="00AF0E57">
        <w:tc>
          <w:tcPr>
            <w:tcW w:w="3119" w:type="dxa"/>
            <w:vMerge/>
            <w:shd w:val="clear" w:color="auto" w:fill="FFFFFF" w:themeFill="background1"/>
          </w:tcPr>
          <w:p w14:paraId="24D6A9A6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5A36FF5F" w14:textId="78D297B7" w:rsidR="00347273" w:rsidRPr="006932BE" w:rsidRDefault="00347273" w:rsidP="0034727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Cost-effective national or international </w:t>
            </w:r>
            <w:r>
              <w:rPr>
                <w:sz w:val="20"/>
                <w:szCs w:val="20"/>
              </w:rPr>
              <w:t xml:space="preserve">stock souring options and </w:t>
            </w:r>
            <w:r w:rsidRPr="006932B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uppliers</w:t>
            </w:r>
            <w:r w:rsidRPr="006932BE">
              <w:rPr>
                <w:sz w:val="20"/>
                <w:szCs w:val="20"/>
              </w:rPr>
              <w:t xml:space="preserve"> have been mapped</w:t>
            </w:r>
            <w:r w:rsidR="00AF0E57">
              <w:rPr>
                <w:sz w:val="20"/>
                <w:szCs w:val="20"/>
              </w:rPr>
              <w:t>, including estimated timeframes for delivery</w:t>
            </w:r>
            <w:r w:rsidRPr="006932BE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endnoteReference w:id="14"/>
            </w:r>
          </w:p>
        </w:tc>
        <w:sdt>
          <w:sdtPr>
            <w:rPr>
              <w:sz w:val="20"/>
              <w:szCs w:val="20"/>
            </w:rPr>
            <w:id w:val="100894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0AEFD6F3" w14:textId="5B9A72E0" w:rsidR="00347273" w:rsidRPr="006932BE" w:rsidRDefault="00347273" w:rsidP="00347273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2E15F049" w14:textId="77777777" w:rsidR="00347273" w:rsidRPr="006932BE" w:rsidRDefault="00347273" w:rsidP="00347273">
            <w:pPr>
              <w:rPr>
                <w:sz w:val="20"/>
                <w:szCs w:val="20"/>
              </w:rPr>
            </w:pPr>
          </w:p>
        </w:tc>
      </w:tr>
      <w:tr w:rsidR="00347273" w:rsidRPr="006932BE" w14:paraId="073C198B" w14:textId="77777777" w:rsidTr="00AF0E57">
        <w:trPr>
          <w:trHeight w:val="550"/>
        </w:trPr>
        <w:tc>
          <w:tcPr>
            <w:tcW w:w="3119" w:type="dxa"/>
            <w:vMerge/>
            <w:shd w:val="clear" w:color="auto" w:fill="FFFFFF" w:themeFill="background1"/>
          </w:tcPr>
          <w:p w14:paraId="64A08D91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7E63D741" w14:textId="5F8C468C" w:rsidR="00347273" w:rsidRPr="006932BE" w:rsidRDefault="00347273" w:rsidP="0034727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National, regional, and international sources have been assessed for purchase, rent or loan of vehicles and for any connected products or services.</w:t>
            </w:r>
            <w:r>
              <w:rPr>
                <w:rStyle w:val="EndnoteReference"/>
                <w:sz w:val="20"/>
                <w:szCs w:val="20"/>
              </w:rPr>
              <w:endnoteReference w:id="15"/>
            </w:r>
          </w:p>
        </w:tc>
        <w:sdt>
          <w:sdtPr>
            <w:rPr>
              <w:sz w:val="20"/>
              <w:szCs w:val="20"/>
            </w:rPr>
            <w:id w:val="-1423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5745C1D0" w14:textId="10AAEE38" w:rsidR="00347273" w:rsidRPr="006932BE" w:rsidRDefault="00347273" w:rsidP="00347273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2A29234D" w14:textId="77777777" w:rsidR="00347273" w:rsidRPr="006932BE" w:rsidRDefault="00347273" w:rsidP="00347273">
            <w:pPr>
              <w:rPr>
                <w:sz w:val="20"/>
                <w:szCs w:val="20"/>
              </w:rPr>
            </w:pPr>
          </w:p>
        </w:tc>
      </w:tr>
      <w:tr w:rsidR="00347273" w:rsidRPr="006932BE" w14:paraId="3F1D037B" w14:textId="77777777" w:rsidTr="00AF0E57">
        <w:tc>
          <w:tcPr>
            <w:tcW w:w="3119" w:type="dxa"/>
            <w:vMerge/>
            <w:shd w:val="clear" w:color="auto" w:fill="FFFFFF" w:themeFill="background1"/>
          </w:tcPr>
          <w:p w14:paraId="159BDEAD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17BA5829" w14:textId="0503F58F" w:rsidR="00347273" w:rsidRPr="006932BE" w:rsidRDefault="00347273" w:rsidP="0034727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Warehousing and transport options are mapped.</w:t>
            </w:r>
            <w:r>
              <w:rPr>
                <w:rStyle w:val="EndnoteReference"/>
                <w:sz w:val="20"/>
                <w:szCs w:val="20"/>
              </w:rPr>
              <w:endnoteReference w:id="16"/>
            </w:r>
          </w:p>
        </w:tc>
        <w:sdt>
          <w:sdtPr>
            <w:rPr>
              <w:sz w:val="20"/>
              <w:szCs w:val="20"/>
            </w:rPr>
            <w:id w:val="150956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62D4D10B" w14:textId="7090FB1C" w:rsidR="00347273" w:rsidRPr="006932BE" w:rsidRDefault="00347273" w:rsidP="00347273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19647D06" w14:textId="77777777" w:rsidR="00347273" w:rsidRPr="006932BE" w:rsidRDefault="00347273" w:rsidP="00347273">
            <w:pPr>
              <w:rPr>
                <w:sz w:val="20"/>
                <w:szCs w:val="20"/>
              </w:rPr>
            </w:pPr>
          </w:p>
        </w:tc>
      </w:tr>
      <w:tr w:rsidR="00347273" w:rsidRPr="006932BE" w14:paraId="6D45F408" w14:textId="77777777" w:rsidTr="00AF0E57">
        <w:tc>
          <w:tcPr>
            <w:tcW w:w="3119" w:type="dxa"/>
            <w:vMerge/>
            <w:shd w:val="clear" w:color="auto" w:fill="FFFFFF" w:themeFill="background1"/>
          </w:tcPr>
          <w:p w14:paraId="7085B056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2FAFC74D" w14:textId="77777777" w:rsidR="00347273" w:rsidRPr="006932BE" w:rsidRDefault="00347273" w:rsidP="0034727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Cost-effective local or international stock sourcing options have been actioned, e.g.:   </w:t>
            </w:r>
          </w:p>
          <w:p w14:paraId="057D9A23" w14:textId="77777777" w:rsidR="00347273" w:rsidRPr="006932BE" w:rsidRDefault="00347273" w:rsidP="0034727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pre-positioning stocks, </w:t>
            </w:r>
          </w:p>
          <w:p w14:paraId="3E8ED6EE" w14:textId="77777777" w:rsidR="00347273" w:rsidRPr="006932BE" w:rsidRDefault="00347273" w:rsidP="0034727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 xml:space="preserve">mutual loan agreement with sister National Societies and/or other agencies, </w:t>
            </w:r>
          </w:p>
          <w:p w14:paraId="08D8345E" w14:textId="77777777" w:rsidR="00347273" w:rsidRPr="00260E45" w:rsidRDefault="00347273" w:rsidP="0034727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stock held with vendors for immediate procurement,</w:t>
            </w:r>
          </w:p>
          <w:p w14:paraId="53CAB88B" w14:textId="23AAF1CE" w:rsidR="00347273" w:rsidRPr="00260E45" w:rsidRDefault="00347273" w:rsidP="0034727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60E45">
              <w:rPr>
                <w:sz w:val="20"/>
                <w:szCs w:val="20"/>
              </w:rPr>
              <w:t>procuring suppliers and entering into service or framework agreements, e.g. for vehicle rental, non-food item</w:t>
            </w:r>
            <w:r w:rsidR="00327956">
              <w:rPr>
                <w:sz w:val="20"/>
                <w:szCs w:val="20"/>
              </w:rPr>
              <w:t>s</w:t>
            </w:r>
            <w:r w:rsidRPr="00260E45">
              <w:rPr>
                <w:sz w:val="20"/>
                <w:szCs w:val="20"/>
              </w:rPr>
              <w:t xml:space="preserve"> etc.</w:t>
            </w:r>
          </w:p>
        </w:tc>
        <w:sdt>
          <w:sdtPr>
            <w:rPr>
              <w:sz w:val="20"/>
              <w:szCs w:val="20"/>
            </w:rPr>
            <w:id w:val="95622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23169C84" w14:textId="49DD84AB" w:rsidR="00347273" w:rsidRPr="006932BE" w:rsidRDefault="00347273" w:rsidP="00347273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357F3CA2" w14:textId="77777777" w:rsidR="00347273" w:rsidRPr="006932BE" w:rsidRDefault="00347273" w:rsidP="00347273">
            <w:pPr>
              <w:rPr>
                <w:sz w:val="20"/>
                <w:szCs w:val="20"/>
              </w:rPr>
            </w:pPr>
          </w:p>
        </w:tc>
      </w:tr>
      <w:tr w:rsidR="00347273" w:rsidRPr="006932BE" w14:paraId="7D28E232" w14:textId="77777777" w:rsidTr="00D42F1C">
        <w:tc>
          <w:tcPr>
            <w:tcW w:w="3119" w:type="dxa"/>
            <w:vMerge w:val="restart"/>
            <w:shd w:val="clear" w:color="auto" w:fill="FFFFFF" w:themeFill="background1"/>
          </w:tcPr>
          <w:p w14:paraId="5FF738AE" w14:textId="1E0E8FE8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Sanctions</w:t>
            </w:r>
          </w:p>
        </w:tc>
        <w:tc>
          <w:tcPr>
            <w:tcW w:w="8789" w:type="dxa"/>
            <w:shd w:val="clear" w:color="auto" w:fill="FFFFFF" w:themeFill="background1"/>
          </w:tcPr>
          <w:p w14:paraId="2A465EAD" w14:textId="632E164B" w:rsidR="00347273" w:rsidRPr="00BC3F9A" w:rsidRDefault="00347273" w:rsidP="0034727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C3F9A">
              <w:rPr>
                <w:sz w:val="20"/>
                <w:szCs w:val="20"/>
              </w:rPr>
              <w:t xml:space="preserve">In countries where sanctions apply, the </w:t>
            </w:r>
            <w:proofErr w:type="spellStart"/>
            <w:r w:rsidRPr="00BC3F9A">
              <w:rPr>
                <w:sz w:val="20"/>
                <w:szCs w:val="20"/>
              </w:rPr>
              <w:t>HoD</w:t>
            </w:r>
            <w:proofErr w:type="spellEnd"/>
            <w:r w:rsidRPr="00BC3F9A">
              <w:rPr>
                <w:sz w:val="20"/>
                <w:szCs w:val="20"/>
              </w:rPr>
              <w:t xml:space="preserve"> has liaised with Legal to understand whether and how sanctions may impact</w:t>
            </w:r>
            <w:r w:rsidR="00AF0E57">
              <w:rPr>
                <w:sz w:val="20"/>
                <w:szCs w:val="20"/>
              </w:rPr>
              <w:t xml:space="preserve"> the IFRC’s or NS’s</w:t>
            </w:r>
            <w:r w:rsidRPr="00BC3F9A">
              <w:rPr>
                <w:sz w:val="20"/>
                <w:szCs w:val="20"/>
              </w:rPr>
              <w:t xml:space="preserve"> humanitarian action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64773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68AAE92A" w14:textId="21D1688A" w:rsidR="00347273" w:rsidRDefault="00347273" w:rsidP="00347273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7FBFD3AF" w14:textId="77777777" w:rsidR="00347273" w:rsidRPr="006932BE" w:rsidRDefault="00347273" w:rsidP="00347273">
            <w:pPr>
              <w:rPr>
                <w:sz w:val="20"/>
                <w:szCs w:val="20"/>
              </w:rPr>
            </w:pPr>
          </w:p>
        </w:tc>
      </w:tr>
      <w:tr w:rsidR="00347273" w:rsidRPr="006932BE" w14:paraId="2E362926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7792633F" w14:textId="77777777" w:rsidR="00347273" w:rsidRDefault="00347273" w:rsidP="00347273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45F65D73" w14:textId="65D5F1A5" w:rsidR="00347273" w:rsidRPr="00BC3F9A" w:rsidRDefault="00347273" w:rsidP="0034727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Delegation </w:t>
            </w:r>
            <w:r w:rsidRPr="00BC3F9A">
              <w:rPr>
                <w:sz w:val="20"/>
                <w:szCs w:val="20"/>
              </w:rPr>
              <w:t xml:space="preserve">is working with Legal, Supply Chain Management, Finance and IT colleagues to reduce the impact of sanctions on operations, including funds transfer, procurement, use of hardware and software </w:t>
            </w:r>
            <w:proofErr w:type="spellStart"/>
            <w:r w:rsidRPr="00BC3F9A">
              <w:rPr>
                <w:sz w:val="20"/>
                <w:szCs w:val="20"/>
              </w:rPr>
              <w:t>etc</w:t>
            </w:r>
            <w:proofErr w:type="spellEnd"/>
            <w:r w:rsidRPr="00BC3F9A">
              <w:rPr>
                <w:sz w:val="20"/>
                <w:szCs w:val="20"/>
              </w:rPr>
              <w:t xml:space="preserve"> where possible.</w:t>
            </w:r>
            <w:r>
              <w:rPr>
                <w:rStyle w:val="EndnoteReference"/>
                <w:sz w:val="20"/>
                <w:szCs w:val="20"/>
              </w:rPr>
              <w:endnoteReference w:id="17"/>
            </w:r>
            <w:r w:rsidRPr="00BC3F9A">
              <w:rPr>
                <w:sz w:val="20"/>
                <w:szCs w:val="20"/>
              </w:rPr>
              <w:t xml:space="preserve">  </w:t>
            </w:r>
          </w:p>
        </w:tc>
        <w:sdt>
          <w:sdtPr>
            <w:rPr>
              <w:sz w:val="20"/>
              <w:szCs w:val="20"/>
            </w:rPr>
            <w:id w:val="124838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176BDE78" w14:textId="671B3A52" w:rsidR="00347273" w:rsidRDefault="00347273" w:rsidP="00347273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20426555" w14:textId="77777777" w:rsidR="00347273" w:rsidRPr="006932BE" w:rsidRDefault="00347273" w:rsidP="00347273">
            <w:pPr>
              <w:rPr>
                <w:sz w:val="20"/>
                <w:szCs w:val="20"/>
              </w:rPr>
            </w:pPr>
          </w:p>
        </w:tc>
      </w:tr>
      <w:tr w:rsidR="00347273" w:rsidRPr="006932BE" w14:paraId="4911BAC4" w14:textId="77777777" w:rsidTr="00CB36B8">
        <w:trPr>
          <w:trHeight w:val="702"/>
        </w:trPr>
        <w:tc>
          <w:tcPr>
            <w:tcW w:w="3119" w:type="dxa"/>
            <w:vMerge w:val="restart"/>
            <w:shd w:val="clear" w:color="auto" w:fill="FFFFFF" w:themeFill="background1"/>
          </w:tcPr>
          <w:p w14:paraId="7FAD2778" w14:textId="11A90C1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  <w:r w:rsidRPr="006932BE">
              <w:rPr>
                <w:b/>
                <w:bCs/>
                <w:sz w:val="20"/>
                <w:szCs w:val="20"/>
              </w:rPr>
              <w:lastRenderedPageBreak/>
              <w:t>Readiness of local National Society</w:t>
            </w:r>
          </w:p>
        </w:tc>
        <w:tc>
          <w:tcPr>
            <w:tcW w:w="8789" w:type="dxa"/>
            <w:shd w:val="clear" w:color="auto" w:fill="FFFF00"/>
          </w:tcPr>
          <w:p w14:paraId="30D02BAB" w14:textId="45ACD003" w:rsidR="00347273" w:rsidRPr="00BC3F9A" w:rsidRDefault="00347273" w:rsidP="0034727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highlight w:val="yellow"/>
              </w:rPr>
            </w:pPr>
            <w:r w:rsidRPr="00BC3F9A">
              <w:rPr>
                <w:sz w:val="20"/>
                <w:szCs w:val="20"/>
                <w:highlight w:val="yellow"/>
              </w:rPr>
              <w:t>The delegation understands the role of the NS in different crises</w:t>
            </w:r>
            <w:r w:rsidR="00422E5D">
              <w:rPr>
                <w:sz w:val="20"/>
                <w:szCs w:val="20"/>
                <w:highlight w:val="yellow"/>
              </w:rPr>
              <w:t>, based on the Red Cross law (where one exists) and</w:t>
            </w:r>
            <w:r w:rsidRPr="00BC3F9A">
              <w:rPr>
                <w:sz w:val="20"/>
                <w:szCs w:val="20"/>
                <w:highlight w:val="yellow"/>
              </w:rPr>
              <w:t xml:space="preserve"> as set out in the National Disaster Management Plan</w:t>
            </w:r>
            <w:r w:rsidR="008854CB">
              <w:rPr>
                <w:sz w:val="20"/>
                <w:szCs w:val="20"/>
                <w:highlight w:val="yellow"/>
              </w:rPr>
              <w:t>, Pre-Disaster Agreement</w:t>
            </w:r>
            <w:r w:rsidRPr="00BC3F9A">
              <w:rPr>
                <w:sz w:val="20"/>
                <w:szCs w:val="20"/>
                <w:highlight w:val="yellow"/>
              </w:rPr>
              <w:t xml:space="preserve"> or other document.</w:t>
            </w:r>
            <w:r>
              <w:rPr>
                <w:rStyle w:val="EndnoteReference"/>
                <w:sz w:val="20"/>
                <w:szCs w:val="20"/>
                <w:highlight w:val="yellow"/>
              </w:rPr>
              <w:endnoteReference w:id="18"/>
            </w:r>
          </w:p>
        </w:tc>
        <w:sdt>
          <w:sdtPr>
            <w:rPr>
              <w:sz w:val="20"/>
              <w:szCs w:val="20"/>
              <w:highlight w:val="yellow"/>
            </w:rPr>
            <w:id w:val="-21342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3D280960" w14:textId="36FF6B47" w:rsidR="00347273" w:rsidRPr="00D61CC7" w:rsidRDefault="00347273" w:rsidP="00347273">
                <w:pPr>
                  <w:rPr>
                    <w:sz w:val="20"/>
                    <w:szCs w:val="20"/>
                    <w:highlight w:val="yellow"/>
                  </w:rPr>
                </w:pPr>
                <w:r w:rsidRPr="00D61CC7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43FC81F0" w14:textId="77777777" w:rsidR="00347273" w:rsidRPr="00D61CC7" w:rsidRDefault="00347273" w:rsidP="00347273">
            <w:pPr>
              <w:rPr>
                <w:sz w:val="20"/>
                <w:szCs w:val="20"/>
                <w:highlight w:val="yellow"/>
              </w:rPr>
            </w:pPr>
          </w:p>
        </w:tc>
      </w:tr>
      <w:tr w:rsidR="00347273" w:rsidRPr="006932BE" w14:paraId="4A63C4BA" w14:textId="77777777" w:rsidTr="00CB36B8">
        <w:tc>
          <w:tcPr>
            <w:tcW w:w="3119" w:type="dxa"/>
            <w:vMerge/>
            <w:shd w:val="clear" w:color="auto" w:fill="FFFFFF" w:themeFill="background1"/>
          </w:tcPr>
          <w:p w14:paraId="22376353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41EA24F8" w14:textId="646D05C7" w:rsidR="00347273" w:rsidRPr="00BC3F9A" w:rsidRDefault="00347273" w:rsidP="0034727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highlight w:val="yellow"/>
              </w:rPr>
            </w:pPr>
            <w:r w:rsidRPr="00BC3F9A">
              <w:rPr>
                <w:rFonts w:cstheme="minorHAnsi"/>
                <w:sz w:val="20"/>
                <w:szCs w:val="20"/>
                <w:highlight w:val="yellow"/>
              </w:rPr>
              <w:t>The</w:t>
            </w:r>
            <w:r w:rsidR="0046475B">
              <w:rPr>
                <w:rFonts w:cstheme="minorHAnsi"/>
                <w:sz w:val="20"/>
                <w:szCs w:val="20"/>
                <w:highlight w:val="yellow"/>
              </w:rPr>
              <w:t xml:space="preserve"> delegation supports the</w:t>
            </w:r>
            <w:r w:rsidR="00631286">
              <w:rPr>
                <w:rFonts w:cstheme="minorHAnsi"/>
                <w:sz w:val="20"/>
                <w:szCs w:val="20"/>
                <w:highlight w:val="yellow"/>
              </w:rPr>
              <w:t xml:space="preserve"> NS </w:t>
            </w:r>
            <w:r w:rsidR="00C17158">
              <w:rPr>
                <w:rFonts w:cstheme="minorHAnsi"/>
                <w:sz w:val="20"/>
                <w:szCs w:val="20"/>
                <w:highlight w:val="yellow"/>
              </w:rPr>
              <w:t>to create</w:t>
            </w:r>
            <w:r w:rsidR="00631286">
              <w:rPr>
                <w:rFonts w:cstheme="minorHAnsi"/>
                <w:sz w:val="20"/>
                <w:szCs w:val="20"/>
                <w:highlight w:val="yellow"/>
              </w:rPr>
              <w:t xml:space="preserve"> an updated preparedness plan</w:t>
            </w:r>
            <w:r w:rsidR="005A1E02">
              <w:rPr>
                <w:rFonts w:cstheme="minorHAnsi"/>
                <w:sz w:val="20"/>
                <w:szCs w:val="20"/>
                <w:highlight w:val="yellow"/>
              </w:rPr>
              <w:t xml:space="preserve"> that highlights NS</w:t>
            </w:r>
            <w:r w:rsidR="00CB36B8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r w:rsidRPr="00BC3F9A">
              <w:rPr>
                <w:rFonts w:cstheme="minorHAnsi"/>
                <w:sz w:val="20"/>
                <w:szCs w:val="20"/>
                <w:highlight w:val="yellow"/>
              </w:rPr>
              <w:t xml:space="preserve">response </w:t>
            </w:r>
            <w:r w:rsidR="005A1E02" w:rsidRPr="00BC3F9A">
              <w:rPr>
                <w:rFonts w:cstheme="minorHAnsi"/>
                <w:sz w:val="20"/>
                <w:szCs w:val="20"/>
                <w:highlight w:val="yellow"/>
              </w:rPr>
              <w:t>capacities</w:t>
            </w:r>
            <w:r w:rsidR="005A1E02">
              <w:rPr>
                <w:rFonts w:cstheme="minorHAnsi"/>
                <w:sz w:val="20"/>
                <w:szCs w:val="20"/>
                <w:highlight w:val="yellow"/>
              </w:rPr>
              <w:t xml:space="preserve"> and identifies key gaps.</w:t>
            </w:r>
            <w:r w:rsidRPr="00BC3F9A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sdt>
          <w:sdtPr>
            <w:rPr>
              <w:sz w:val="20"/>
              <w:szCs w:val="20"/>
              <w:highlight w:val="yellow"/>
            </w:rPr>
            <w:id w:val="-806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4E991250" w14:textId="272E8F9E" w:rsidR="00347273" w:rsidRPr="00D61CC7" w:rsidRDefault="00347273" w:rsidP="00347273">
                <w:pPr>
                  <w:rPr>
                    <w:sz w:val="20"/>
                    <w:szCs w:val="20"/>
                    <w:highlight w:val="yellow"/>
                  </w:rPr>
                </w:pPr>
                <w:r w:rsidRPr="00D61CC7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61606732" w14:textId="77777777" w:rsidR="00347273" w:rsidRPr="00D61CC7" w:rsidRDefault="00347273" w:rsidP="00347273">
            <w:pPr>
              <w:rPr>
                <w:sz w:val="20"/>
                <w:szCs w:val="20"/>
                <w:highlight w:val="yellow"/>
              </w:rPr>
            </w:pPr>
          </w:p>
        </w:tc>
      </w:tr>
      <w:tr w:rsidR="00CB36B8" w:rsidRPr="006932BE" w14:paraId="5EC6554E" w14:textId="77777777" w:rsidTr="00CB36B8">
        <w:tc>
          <w:tcPr>
            <w:tcW w:w="3119" w:type="dxa"/>
            <w:vMerge/>
            <w:shd w:val="clear" w:color="auto" w:fill="FFFFFF" w:themeFill="background1"/>
          </w:tcPr>
          <w:p w14:paraId="7309E879" w14:textId="77777777" w:rsidR="00CB36B8" w:rsidRPr="006932BE" w:rsidRDefault="00CB36B8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14:paraId="5E285A46" w14:textId="40DFBF6A" w:rsidR="00CB36B8" w:rsidRPr="00BC3F9A" w:rsidRDefault="00CB36B8" w:rsidP="0034727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highlight w:val="yellow"/>
              </w:rPr>
            </w:pPr>
            <w:r w:rsidRPr="006932BE">
              <w:rPr>
                <w:rFonts w:cstheme="minorHAnsi"/>
                <w:sz w:val="20"/>
                <w:szCs w:val="20"/>
              </w:rPr>
              <w:t>The</w:t>
            </w:r>
            <w:r w:rsidR="00EB24F9">
              <w:rPr>
                <w:rFonts w:cstheme="minorHAnsi"/>
                <w:sz w:val="20"/>
                <w:szCs w:val="20"/>
              </w:rPr>
              <w:t xml:space="preserve"> </w:t>
            </w:r>
            <w:r w:rsidRPr="006932BE">
              <w:rPr>
                <w:rFonts w:cstheme="minorHAnsi"/>
                <w:sz w:val="20"/>
                <w:szCs w:val="20"/>
              </w:rPr>
              <w:t xml:space="preserve">NS partnerships and engagements with </w:t>
            </w:r>
            <w:r w:rsidR="002406C7">
              <w:rPr>
                <w:rFonts w:cstheme="minorHAnsi"/>
                <w:sz w:val="20"/>
                <w:szCs w:val="20"/>
              </w:rPr>
              <w:t>RCRC</w:t>
            </w:r>
            <w:r w:rsidRPr="006932BE">
              <w:rPr>
                <w:rFonts w:cstheme="minorHAnsi"/>
                <w:sz w:val="20"/>
                <w:szCs w:val="20"/>
              </w:rPr>
              <w:t xml:space="preserve"> actors</w:t>
            </w:r>
            <w:r w:rsidR="00F827A8">
              <w:rPr>
                <w:rFonts w:cstheme="minorHAnsi"/>
                <w:sz w:val="20"/>
                <w:szCs w:val="20"/>
              </w:rPr>
              <w:t>, local authorities and UN agencies</w:t>
            </w:r>
            <w:r w:rsidR="00EB24F9">
              <w:rPr>
                <w:rFonts w:cstheme="minorHAnsi"/>
                <w:sz w:val="20"/>
                <w:szCs w:val="20"/>
              </w:rPr>
              <w:t xml:space="preserve"> have been mapped</w:t>
            </w:r>
            <w:r w:rsidRPr="006932BE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52552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4D1C140F" w14:textId="4B45FB1C" w:rsidR="00CB36B8" w:rsidRDefault="00CB36B8" w:rsidP="00347273">
                <w:pPr>
                  <w:rPr>
                    <w:sz w:val="20"/>
                    <w:szCs w:val="20"/>
                    <w:highlight w:val="yellow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</w:tcPr>
          <w:p w14:paraId="493A5B1D" w14:textId="77777777" w:rsidR="00CB36B8" w:rsidRPr="00D61CC7" w:rsidRDefault="00CB36B8" w:rsidP="00347273">
            <w:pPr>
              <w:rPr>
                <w:sz w:val="20"/>
                <w:szCs w:val="20"/>
                <w:highlight w:val="yellow"/>
              </w:rPr>
            </w:pPr>
          </w:p>
        </w:tc>
      </w:tr>
      <w:tr w:rsidR="00347273" w:rsidRPr="006932BE" w14:paraId="5C27BC49" w14:textId="77777777" w:rsidTr="00CB36B8">
        <w:tc>
          <w:tcPr>
            <w:tcW w:w="3119" w:type="dxa"/>
            <w:vMerge/>
            <w:shd w:val="clear" w:color="auto" w:fill="FFFFFF" w:themeFill="background1"/>
          </w:tcPr>
          <w:p w14:paraId="031F1094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59CBB1FD" w14:textId="44DEA787" w:rsidR="00347273" w:rsidRPr="00BC3F9A" w:rsidRDefault="00347273" w:rsidP="0034727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highlight w:val="yellow"/>
              </w:rPr>
            </w:pPr>
            <w:r w:rsidRPr="00BC3F9A">
              <w:rPr>
                <w:sz w:val="20"/>
                <w:szCs w:val="20"/>
                <w:highlight w:val="yellow"/>
              </w:rPr>
              <w:t xml:space="preserve">The delegation </w:t>
            </w:r>
            <w:r w:rsidR="00B91A4A">
              <w:rPr>
                <w:sz w:val="20"/>
                <w:szCs w:val="20"/>
                <w:highlight w:val="yellow"/>
              </w:rPr>
              <w:t>regularly discusses</w:t>
            </w:r>
            <w:r w:rsidRPr="00BC3F9A">
              <w:rPr>
                <w:sz w:val="20"/>
                <w:szCs w:val="20"/>
                <w:highlight w:val="yellow"/>
              </w:rPr>
              <w:t xml:space="preserve"> with the NS the role of the IFRC in emergency operations, including the tools available to the NS (DREF, HEOPS, Rapid Response mechanisms) and IFRC’s funding modalities.</w:t>
            </w:r>
            <w:r w:rsidR="00E26874">
              <w:rPr>
                <w:sz w:val="20"/>
                <w:szCs w:val="20"/>
                <w:highlight w:val="yellow"/>
              </w:rPr>
              <w:t xml:space="preserve"> Ther</w:t>
            </w:r>
            <w:r w:rsidR="00804D44">
              <w:rPr>
                <w:sz w:val="20"/>
                <w:szCs w:val="20"/>
                <w:highlight w:val="yellow"/>
              </w:rPr>
              <w:t>e</w:t>
            </w:r>
            <w:r w:rsidR="00E26874">
              <w:rPr>
                <w:sz w:val="20"/>
                <w:szCs w:val="20"/>
                <w:highlight w:val="yellow"/>
              </w:rPr>
              <w:t xml:space="preserve"> is </w:t>
            </w:r>
            <w:r w:rsidR="001A7206">
              <w:rPr>
                <w:sz w:val="20"/>
                <w:szCs w:val="20"/>
                <w:highlight w:val="yellow"/>
              </w:rPr>
              <w:t>an understanding with the NS</w:t>
            </w:r>
            <w:r w:rsidR="00E26874">
              <w:rPr>
                <w:sz w:val="20"/>
                <w:szCs w:val="20"/>
                <w:highlight w:val="yellow"/>
              </w:rPr>
              <w:t xml:space="preserve"> on</w:t>
            </w:r>
            <w:r w:rsidR="001A7206">
              <w:rPr>
                <w:sz w:val="20"/>
                <w:szCs w:val="20"/>
                <w:highlight w:val="yellow"/>
              </w:rPr>
              <w:t xml:space="preserve"> how the tools are activated and a contact person</w:t>
            </w:r>
            <w:r w:rsidR="00AA5D4C">
              <w:rPr>
                <w:sz w:val="20"/>
                <w:szCs w:val="20"/>
                <w:highlight w:val="yellow"/>
              </w:rPr>
              <w:t>/s</w:t>
            </w:r>
            <w:r w:rsidR="001A7206">
              <w:rPr>
                <w:sz w:val="20"/>
                <w:szCs w:val="20"/>
                <w:highlight w:val="yellow"/>
              </w:rPr>
              <w:t xml:space="preserve"> fo</w:t>
            </w:r>
            <w:r w:rsidR="007725B8">
              <w:rPr>
                <w:sz w:val="20"/>
                <w:szCs w:val="20"/>
                <w:highlight w:val="yellow"/>
              </w:rPr>
              <w:t>r activation</w:t>
            </w:r>
            <w:r w:rsidR="001A7206">
              <w:rPr>
                <w:sz w:val="20"/>
                <w:szCs w:val="20"/>
                <w:highlight w:val="yellow"/>
              </w:rPr>
              <w:t xml:space="preserve"> within</w:t>
            </w:r>
            <w:r w:rsidR="00804D44">
              <w:rPr>
                <w:sz w:val="20"/>
                <w:szCs w:val="20"/>
                <w:highlight w:val="yellow"/>
              </w:rPr>
              <w:t xml:space="preserve"> the NS.</w:t>
            </w:r>
          </w:p>
        </w:tc>
        <w:sdt>
          <w:sdtPr>
            <w:rPr>
              <w:sz w:val="20"/>
              <w:szCs w:val="20"/>
              <w:highlight w:val="yellow"/>
            </w:rPr>
            <w:id w:val="-213801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767827E7" w14:textId="222CE226" w:rsidR="00347273" w:rsidRPr="00D61CC7" w:rsidRDefault="00347273" w:rsidP="00347273">
                <w:pPr>
                  <w:rPr>
                    <w:sz w:val="20"/>
                    <w:szCs w:val="20"/>
                    <w:highlight w:val="yellow"/>
                  </w:rPr>
                </w:pPr>
                <w:r w:rsidRPr="00D61CC7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7A9FB676" w14:textId="77777777" w:rsidR="00347273" w:rsidRPr="00D61CC7" w:rsidRDefault="00347273" w:rsidP="00347273">
            <w:pPr>
              <w:rPr>
                <w:sz w:val="20"/>
                <w:szCs w:val="20"/>
                <w:highlight w:val="yellow"/>
              </w:rPr>
            </w:pPr>
          </w:p>
        </w:tc>
      </w:tr>
      <w:tr w:rsidR="00CB36B8" w:rsidRPr="006932BE" w14:paraId="046E1CC7" w14:textId="77777777" w:rsidTr="00CB36B8">
        <w:tc>
          <w:tcPr>
            <w:tcW w:w="3119" w:type="dxa"/>
            <w:vMerge/>
            <w:shd w:val="clear" w:color="auto" w:fill="FFFFFF" w:themeFill="background1"/>
          </w:tcPr>
          <w:p w14:paraId="6F45BF69" w14:textId="77777777" w:rsidR="00CB36B8" w:rsidRPr="006932BE" w:rsidRDefault="00CB36B8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61CD02B9" w14:textId="5818AEDD" w:rsidR="00CB36B8" w:rsidRPr="00BC3F9A" w:rsidRDefault="00CB36B8" w:rsidP="0034727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highlight w:val="yellow"/>
              </w:rPr>
            </w:pPr>
            <w:r w:rsidRPr="006932BE">
              <w:rPr>
                <w:rFonts w:cstheme="minorHAnsi"/>
                <w:sz w:val="20"/>
                <w:szCs w:val="20"/>
              </w:rPr>
              <w:t>The</w:t>
            </w:r>
            <w:r w:rsidR="00EB24F9">
              <w:rPr>
                <w:rFonts w:cstheme="minorHAnsi"/>
                <w:sz w:val="20"/>
                <w:szCs w:val="20"/>
              </w:rPr>
              <w:t xml:space="preserve"> delegation has discussed with the NS</w:t>
            </w:r>
            <w:r w:rsidR="00256119">
              <w:rPr>
                <w:rFonts w:cstheme="minorHAnsi"/>
                <w:sz w:val="20"/>
                <w:szCs w:val="20"/>
              </w:rPr>
              <w:t xml:space="preserve">, PNS in the country and ICRC </w:t>
            </w:r>
            <w:r w:rsidR="00FF44F5">
              <w:rPr>
                <w:rFonts w:cstheme="minorHAnsi"/>
                <w:sz w:val="20"/>
                <w:szCs w:val="20"/>
              </w:rPr>
              <w:t>where</w:t>
            </w:r>
            <w:r w:rsidR="00256119">
              <w:rPr>
                <w:rFonts w:cstheme="minorHAnsi"/>
                <w:sz w:val="20"/>
                <w:szCs w:val="20"/>
              </w:rPr>
              <w:t xml:space="preserve"> present</w:t>
            </w:r>
            <w:r w:rsidR="00983F8B">
              <w:rPr>
                <w:rFonts w:cstheme="minorHAnsi"/>
                <w:sz w:val="20"/>
                <w:szCs w:val="20"/>
              </w:rPr>
              <w:t>, the NS</w:t>
            </w:r>
            <w:r w:rsidRPr="006932BE">
              <w:rPr>
                <w:rFonts w:cstheme="minorHAnsi"/>
                <w:sz w:val="20"/>
                <w:szCs w:val="20"/>
              </w:rPr>
              <w:t xml:space="preserve"> coordination capacities and roles in an emergency</w:t>
            </w:r>
            <w:r w:rsidR="003517F1">
              <w:rPr>
                <w:rFonts w:cstheme="minorHAnsi"/>
                <w:sz w:val="20"/>
                <w:szCs w:val="20"/>
              </w:rPr>
              <w:t xml:space="preserve">, in accordance with the Way of Working/ Agenda for Renewal, and Seville 2.0 </w:t>
            </w:r>
            <w:r w:rsidR="00FF44F5">
              <w:rPr>
                <w:rFonts w:cstheme="minorHAnsi"/>
                <w:sz w:val="20"/>
                <w:szCs w:val="20"/>
              </w:rPr>
              <w:t>(if relevant)</w:t>
            </w:r>
            <w:r w:rsidR="003517F1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82512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10EE5C7C" w14:textId="36DDC29F" w:rsidR="00CB36B8" w:rsidRDefault="00CB36B8" w:rsidP="00347273">
                <w:pPr>
                  <w:rPr>
                    <w:sz w:val="20"/>
                    <w:szCs w:val="20"/>
                    <w:highlight w:val="yellow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235EBC64" w14:textId="77777777" w:rsidR="00CB36B8" w:rsidRPr="00D61CC7" w:rsidRDefault="00CB36B8" w:rsidP="00347273">
            <w:pPr>
              <w:rPr>
                <w:sz w:val="20"/>
                <w:szCs w:val="20"/>
                <w:highlight w:val="yellow"/>
              </w:rPr>
            </w:pPr>
          </w:p>
        </w:tc>
      </w:tr>
      <w:tr w:rsidR="00347273" w:rsidRPr="006932BE" w14:paraId="6BCE4535" w14:textId="77777777" w:rsidTr="00CB36B8">
        <w:tc>
          <w:tcPr>
            <w:tcW w:w="3119" w:type="dxa"/>
            <w:vMerge/>
            <w:shd w:val="clear" w:color="auto" w:fill="FFFFFF" w:themeFill="background1"/>
          </w:tcPr>
          <w:p w14:paraId="66C006A5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6FCBD9C1" w14:textId="0062B2CA" w:rsidR="00347273" w:rsidRPr="00BC3F9A" w:rsidRDefault="00347273" w:rsidP="0034727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highlight w:val="yellow"/>
              </w:rPr>
            </w:pPr>
            <w:r w:rsidRPr="00BC3F9A">
              <w:rPr>
                <w:sz w:val="20"/>
                <w:szCs w:val="20"/>
                <w:highlight w:val="yellow"/>
              </w:rPr>
              <w:t>The NS has a functioning bank account and can receive funds</w:t>
            </w:r>
            <w:r w:rsidR="00A85A38">
              <w:rPr>
                <w:sz w:val="20"/>
                <w:szCs w:val="20"/>
                <w:highlight w:val="yellow"/>
              </w:rPr>
              <w:t xml:space="preserve"> locally and internationally</w:t>
            </w:r>
            <w:r w:rsidRPr="00BC3F9A">
              <w:rPr>
                <w:sz w:val="20"/>
                <w:szCs w:val="20"/>
                <w:highlight w:val="yellow"/>
              </w:rPr>
              <w:t>.</w:t>
            </w:r>
            <w:r w:rsidR="00653CBE">
              <w:rPr>
                <w:sz w:val="20"/>
                <w:szCs w:val="20"/>
                <w:highlight w:val="yellow"/>
              </w:rPr>
              <w:t xml:space="preserve"> Timeframes</w:t>
            </w:r>
            <w:r w:rsidR="007A0ED6">
              <w:rPr>
                <w:sz w:val="20"/>
                <w:szCs w:val="20"/>
                <w:highlight w:val="yellow"/>
              </w:rPr>
              <w:t xml:space="preserve"> for receipt of funds are understood by the NS</w:t>
            </w:r>
            <w:r w:rsidR="005F4D7F">
              <w:rPr>
                <w:sz w:val="20"/>
                <w:szCs w:val="20"/>
                <w:highlight w:val="yellow"/>
              </w:rPr>
              <w:t>, a</w:t>
            </w:r>
            <w:r w:rsidR="00CF78E9">
              <w:rPr>
                <w:sz w:val="20"/>
                <w:szCs w:val="20"/>
                <w:highlight w:val="yellow"/>
              </w:rPr>
              <w:t>s well as</w:t>
            </w:r>
            <w:r w:rsidR="005F4D7F">
              <w:rPr>
                <w:sz w:val="20"/>
                <w:szCs w:val="20"/>
                <w:highlight w:val="yellow"/>
              </w:rPr>
              <w:t xml:space="preserve"> </w:t>
            </w:r>
            <w:r w:rsidR="00CF78E9">
              <w:rPr>
                <w:sz w:val="20"/>
                <w:szCs w:val="20"/>
                <w:highlight w:val="yellow"/>
              </w:rPr>
              <w:t>procedures to transfer funds between HQ and branches.</w:t>
            </w:r>
          </w:p>
        </w:tc>
        <w:sdt>
          <w:sdtPr>
            <w:rPr>
              <w:sz w:val="20"/>
              <w:szCs w:val="20"/>
              <w:highlight w:val="yellow"/>
            </w:rPr>
            <w:id w:val="157447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7A6DBDF1" w14:textId="4B8EB4B0" w:rsidR="00347273" w:rsidRPr="00D61CC7" w:rsidRDefault="00347273" w:rsidP="00347273">
                <w:pPr>
                  <w:rPr>
                    <w:sz w:val="20"/>
                    <w:szCs w:val="20"/>
                    <w:highlight w:val="yellow"/>
                  </w:rPr>
                </w:pPr>
                <w:r w:rsidRPr="00D61CC7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5F1CB811" w14:textId="77777777" w:rsidR="00347273" w:rsidRPr="00D61CC7" w:rsidRDefault="00347273" w:rsidP="00347273">
            <w:pPr>
              <w:rPr>
                <w:sz w:val="20"/>
                <w:szCs w:val="20"/>
                <w:highlight w:val="yellow"/>
              </w:rPr>
            </w:pPr>
          </w:p>
        </w:tc>
      </w:tr>
      <w:tr w:rsidR="00347273" w:rsidRPr="006932BE" w14:paraId="22050B27" w14:textId="77777777" w:rsidTr="00FB0926">
        <w:tc>
          <w:tcPr>
            <w:tcW w:w="3119" w:type="dxa"/>
            <w:vMerge/>
            <w:shd w:val="clear" w:color="auto" w:fill="FFFFFF" w:themeFill="background1"/>
          </w:tcPr>
          <w:p w14:paraId="14107391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562E3A3F" w14:textId="5C0789EC" w:rsidR="00347273" w:rsidRPr="00BC3F9A" w:rsidRDefault="00347273" w:rsidP="0034727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highlight w:val="yellow"/>
              </w:rPr>
            </w:pPr>
            <w:r w:rsidRPr="00E229AC">
              <w:rPr>
                <w:sz w:val="20"/>
                <w:szCs w:val="20"/>
              </w:rPr>
              <w:t xml:space="preserve">The </w:t>
            </w:r>
            <w:r w:rsidR="00EB24F9">
              <w:rPr>
                <w:sz w:val="20"/>
                <w:szCs w:val="20"/>
              </w:rPr>
              <w:t>delegation</w:t>
            </w:r>
            <w:r w:rsidR="00CB36B8">
              <w:rPr>
                <w:sz w:val="20"/>
                <w:szCs w:val="20"/>
              </w:rPr>
              <w:t xml:space="preserve"> has</w:t>
            </w:r>
            <w:r w:rsidRPr="00E229AC">
              <w:rPr>
                <w:sz w:val="20"/>
                <w:szCs w:val="20"/>
              </w:rPr>
              <w:t xml:space="preserve"> prepare</w:t>
            </w:r>
            <w:r w:rsidR="00CB36B8">
              <w:rPr>
                <w:sz w:val="20"/>
                <w:szCs w:val="20"/>
              </w:rPr>
              <w:t>d</w:t>
            </w:r>
            <w:r w:rsidRPr="00E229AC">
              <w:rPr>
                <w:sz w:val="20"/>
                <w:szCs w:val="20"/>
              </w:rPr>
              <w:t xml:space="preserve"> proforma DREF forms for predicable emergencies in advance</w:t>
            </w:r>
            <w:r w:rsidR="00CB36B8">
              <w:rPr>
                <w:sz w:val="20"/>
                <w:szCs w:val="20"/>
              </w:rPr>
              <w:t xml:space="preserve">, </w:t>
            </w:r>
            <w:r w:rsidR="00EB24F9">
              <w:rPr>
                <w:sz w:val="20"/>
                <w:szCs w:val="20"/>
              </w:rPr>
              <w:t>together</w:t>
            </w:r>
            <w:r w:rsidR="00CB36B8">
              <w:rPr>
                <w:sz w:val="20"/>
                <w:szCs w:val="20"/>
              </w:rPr>
              <w:t xml:space="preserve"> with the NS</w:t>
            </w:r>
            <w:r w:rsidRPr="00E229AC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51160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467D620C" w14:textId="1416E24E" w:rsidR="00347273" w:rsidRDefault="00347273" w:rsidP="00347273">
                <w:pPr>
                  <w:rPr>
                    <w:sz w:val="20"/>
                    <w:szCs w:val="20"/>
                    <w:highlight w:val="yellow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5327340F" w14:textId="77777777" w:rsidR="00347273" w:rsidRPr="00D61CC7" w:rsidRDefault="00347273" w:rsidP="00347273">
            <w:pPr>
              <w:rPr>
                <w:sz w:val="20"/>
                <w:szCs w:val="20"/>
                <w:highlight w:val="yellow"/>
              </w:rPr>
            </w:pPr>
          </w:p>
        </w:tc>
      </w:tr>
      <w:tr w:rsidR="00347273" w:rsidRPr="006932BE" w14:paraId="30400EB9" w14:textId="77777777" w:rsidTr="00FB0926">
        <w:tc>
          <w:tcPr>
            <w:tcW w:w="3119" w:type="dxa"/>
            <w:vMerge/>
            <w:shd w:val="clear" w:color="auto" w:fill="FFFFFF" w:themeFill="background1"/>
          </w:tcPr>
          <w:p w14:paraId="0E9F93D4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1AF6DBAC" w14:textId="2F3CDA6B" w:rsidR="00F75522" w:rsidRPr="0086005E" w:rsidRDefault="00347273" w:rsidP="0086005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61CC7">
              <w:rPr>
                <w:rFonts w:cstheme="minorHAnsi"/>
                <w:sz w:val="20"/>
                <w:szCs w:val="20"/>
              </w:rPr>
              <w:t>The delegation</w:t>
            </w:r>
            <w:r w:rsidR="00CA1E11">
              <w:rPr>
                <w:rFonts w:cstheme="minorHAnsi"/>
                <w:sz w:val="20"/>
                <w:szCs w:val="20"/>
              </w:rPr>
              <w:t xml:space="preserve"> has </w:t>
            </w:r>
            <w:r w:rsidR="00842D45">
              <w:rPr>
                <w:rFonts w:cstheme="minorHAnsi"/>
                <w:sz w:val="20"/>
                <w:szCs w:val="20"/>
              </w:rPr>
              <w:t>a good understanding of the</w:t>
            </w:r>
            <w:r w:rsidR="003C3CBC">
              <w:rPr>
                <w:rFonts w:cstheme="minorHAnsi"/>
                <w:sz w:val="20"/>
                <w:szCs w:val="20"/>
              </w:rPr>
              <w:t xml:space="preserve"> </w:t>
            </w:r>
            <w:r w:rsidRPr="00D61CC7">
              <w:rPr>
                <w:rFonts w:cstheme="minorHAnsi"/>
                <w:sz w:val="20"/>
                <w:szCs w:val="20"/>
              </w:rPr>
              <w:t xml:space="preserve">Preparedness for Effective Response (PER) </w:t>
            </w:r>
            <w:r w:rsidR="00842D45">
              <w:rPr>
                <w:rFonts w:cstheme="minorHAnsi"/>
                <w:sz w:val="20"/>
                <w:szCs w:val="20"/>
              </w:rPr>
              <w:t>approach</w:t>
            </w:r>
            <w:r w:rsidR="00524130">
              <w:rPr>
                <w:rFonts w:cstheme="minorHAnsi"/>
                <w:sz w:val="20"/>
                <w:szCs w:val="20"/>
              </w:rPr>
              <w:t xml:space="preserve"> and actively supports the NS </w:t>
            </w:r>
            <w:r w:rsidR="00B33051">
              <w:rPr>
                <w:rFonts w:cstheme="minorHAnsi"/>
                <w:sz w:val="20"/>
                <w:szCs w:val="20"/>
              </w:rPr>
              <w:t xml:space="preserve">PER activities </w:t>
            </w:r>
            <w:r w:rsidRPr="00D61CC7">
              <w:rPr>
                <w:rFonts w:cstheme="minorHAnsi"/>
                <w:sz w:val="20"/>
                <w:szCs w:val="20"/>
              </w:rPr>
              <w:t xml:space="preserve">to increase </w:t>
            </w:r>
            <w:r w:rsidR="00B33051">
              <w:rPr>
                <w:rFonts w:cstheme="minorHAnsi"/>
                <w:sz w:val="20"/>
                <w:szCs w:val="20"/>
              </w:rPr>
              <w:t>NS</w:t>
            </w:r>
            <w:r w:rsidRPr="00D61CC7">
              <w:rPr>
                <w:rFonts w:cstheme="minorHAnsi"/>
                <w:sz w:val="20"/>
                <w:szCs w:val="20"/>
              </w:rPr>
              <w:t xml:space="preserve"> response capacit</w:t>
            </w:r>
            <w:r w:rsidR="00B33051">
              <w:rPr>
                <w:rFonts w:cstheme="minorHAnsi"/>
                <w:sz w:val="20"/>
                <w:szCs w:val="20"/>
              </w:rPr>
              <w:t xml:space="preserve">ies and </w:t>
            </w:r>
            <w:r w:rsidR="00FE285F">
              <w:rPr>
                <w:rFonts w:cstheme="minorHAnsi"/>
                <w:sz w:val="20"/>
                <w:szCs w:val="20"/>
              </w:rPr>
              <w:t>readiness to respond</w:t>
            </w:r>
            <w:r w:rsidR="00516AD7">
              <w:rPr>
                <w:rFonts w:cstheme="minorHAnsi"/>
                <w:sz w:val="20"/>
                <w:szCs w:val="20"/>
              </w:rPr>
              <w:t xml:space="preserve"> (including w</w:t>
            </w:r>
            <w:r w:rsidR="00A911B8">
              <w:rPr>
                <w:rFonts w:cstheme="minorHAnsi"/>
                <w:sz w:val="20"/>
                <w:szCs w:val="20"/>
              </w:rPr>
              <w:t xml:space="preserve">ith </w:t>
            </w:r>
            <w:r w:rsidR="00384D6B">
              <w:rPr>
                <w:rFonts w:cstheme="minorHAnsi"/>
                <w:sz w:val="20"/>
                <w:szCs w:val="20"/>
              </w:rPr>
              <w:t xml:space="preserve">NS </w:t>
            </w:r>
            <w:r w:rsidR="00A911B8">
              <w:rPr>
                <w:rFonts w:cstheme="minorHAnsi"/>
                <w:sz w:val="20"/>
                <w:szCs w:val="20"/>
              </w:rPr>
              <w:t xml:space="preserve">Contingency Plans, NS Preparedness Plan, Early Action Protocols, </w:t>
            </w:r>
            <w:r w:rsidR="00A670AF">
              <w:rPr>
                <w:rFonts w:cstheme="minorHAnsi"/>
                <w:sz w:val="20"/>
                <w:szCs w:val="20"/>
              </w:rPr>
              <w:t>a functional EOC, national disaster response teams, etc</w:t>
            </w:r>
            <w:r w:rsidR="001F610E">
              <w:rPr>
                <w:rFonts w:cstheme="minorHAnsi"/>
                <w:sz w:val="20"/>
                <w:szCs w:val="20"/>
              </w:rPr>
              <w:t>.</w:t>
            </w:r>
            <w:r w:rsidR="00A670AF">
              <w:rPr>
                <w:rFonts w:cstheme="minorHAnsi"/>
                <w:sz w:val="20"/>
                <w:szCs w:val="20"/>
              </w:rPr>
              <w:t>)</w:t>
            </w:r>
            <w:r>
              <w:rPr>
                <w:rStyle w:val="EndnoteReference"/>
                <w:rFonts w:cstheme="minorHAnsi"/>
                <w:sz w:val="20"/>
                <w:szCs w:val="20"/>
              </w:rPr>
              <w:endnoteReference w:id="19"/>
            </w:r>
            <w:r w:rsidR="0086005E">
              <w:rPr>
                <w:rFonts w:cstheme="minorHAnsi"/>
                <w:sz w:val="20"/>
                <w:szCs w:val="20"/>
              </w:rPr>
              <w:t xml:space="preserve"> </w:t>
            </w:r>
            <w:r w:rsidR="00F75522" w:rsidRPr="0086005E">
              <w:rPr>
                <w:sz w:val="20"/>
                <w:szCs w:val="20"/>
              </w:rPr>
              <w:t xml:space="preserve">The delegation is familiar with the existing </w:t>
            </w:r>
            <w:r w:rsidR="002F0B77" w:rsidRPr="0086005E">
              <w:rPr>
                <w:sz w:val="20"/>
                <w:szCs w:val="20"/>
              </w:rPr>
              <w:t xml:space="preserve">PER </w:t>
            </w:r>
            <w:r w:rsidR="00F75522" w:rsidRPr="0086005E">
              <w:rPr>
                <w:sz w:val="20"/>
                <w:szCs w:val="20"/>
              </w:rPr>
              <w:t>readiness tools (</w:t>
            </w:r>
            <w:hyperlink r:id="rId21" w:history="1">
              <w:r w:rsidR="00F75522" w:rsidRPr="0086005E">
                <w:rPr>
                  <w:rStyle w:val="Hyperlink"/>
                  <w:sz w:val="20"/>
                  <w:szCs w:val="20"/>
                </w:rPr>
                <w:t>Guidance Note</w:t>
              </w:r>
            </w:hyperlink>
            <w:r w:rsidR="00F75522" w:rsidRPr="0086005E">
              <w:rPr>
                <w:sz w:val="20"/>
                <w:szCs w:val="20"/>
              </w:rPr>
              <w:t xml:space="preserve">, </w:t>
            </w:r>
            <w:hyperlink r:id="rId22" w:history="1">
              <w:r w:rsidR="00F75522" w:rsidRPr="0086005E">
                <w:rPr>
                  <w:rStyle w:val="Hyperlink"/>
                  <w:sz w:val="20"/>
                  <w:szCs w:val="20"/>
                </w:rPr>
                <w:t>Checklist</w:t>
              </w:r>
            </w:hyperlink>
            <w:r w:rsidR="00F75522" w:rsidRPr="0086005E">
              <w:rPr>
                <w:sz w:val="20"/>
                <w:szCs w:val="20"/>
              </w:rPr>
              <w:t>, Op</w:t>
            </w:r>
            <w:r w:rsidR="002F0B77" w:rsidRPr="0086005E">
              <w:rPr>
                <w:sz w:val="20"/>
                <w:szCs w:val="20"/>
              </w:rPr>
              <w:t>eration</w:t>
            </w:r>
            <w:r w:rsidR="00F75522" w:rsidRPr="0086005E">
              <w:rPr>
                <w:sz w:val="20"/>
                <w:szCs w:val="20"/>
              </w:rPr>
              <w:t xml:space="preserve">s Learning Briefs etc.) and </w:t>
            </w:r>
            <w:r w:rsidR="0015482B" w:rsidRPr="0086005E">
              <w:rPr>
                <w:sz w:val="20"/>
                <w:szCs w:val="20"/>
              </w:rPr>
              <w:t>supports</w:t>
            </w:r>
            <w:r w:rsidR="00F75522" w:rsidRPr="0086005E">
              <w:rPr>
                <w:sz w:val="20"/>
                <w:szCs w:val="20"/>
              </w:rPr>
              <w:t xml:space="preserve"> the</w:t>
            </w:r>
            <w:r w:rsidR="0086005E" w:rsidRPr="0086005E">
              <w:rPr>
                <w:sz w:val="20"/>
                <w:szCs w:val="20"/>
              </w:rPr>
              <w:t xml:space="preserve"> NS’s</w:t>
            </w:r>
            <w:r w:rsidR="00F75522" w:rsidRPr="0086005E">
              <w:rPr>
                <w:sz w:val="20"/>
                <w:szCs w:val="20"/>
              </w:rPr>
              <w:t xml:space="preserve"> application of these tools.</w:t>
            </w:r>
          </w:p>
        </w:tc>
        <w:sdt>
          <w:sdtPr>
            <w:rPr>
              <w:sz w:val="20"/>
              <w:szCs w:val="20"/>
            </w:rPr>
            <w:id w:val="203715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0B561D0B" w14:textId="644B8D7A" w:rsidR="00347273" w:rsidRDefault="00347273" w:rsidP="00347273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01A4F462" w14:textId="77777777" w:rsidR="00347273" w:rsidRPr="006932BE" w:rsidRDefault="00347273" w:rsidP="00347273">
            <w:pPr>
              <w:rPr>
                <w:sz w:val="20"/>
                <w:szCs w:val="20"/>
              </w:rPr>
            </w:pPr>
          </w:p>
        </w:tc>
      </w:tr>
      <w:tr w:rsidR="00B3772E" w:rsidRPr="006932BE" w14:paraId="13AC3689" w14:textId="77777777" w:rsidTr="00FB0926">
        <w:tc>
          <w:tcPr>
            <w:tcW w:w="3119" w:type="dxa"/>
            <w:shd w:val="clear" w:color="auto" w:fill="FFFFFF" w:themeFill="background1"/>
          </w:tcPr>
          <w:p w14:paraId="70288AEA" w14:textId="32040450" w:rsidR="00B3772E" w:rsidRPr="006932BE" w:rsidRDefault="00B3772E" w:rsidP="003472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Contingency Planning</w:t>
            </w:r>
          </w:p>
        </w:tc>
        <w:tc>
          <w:tcPr>
            <w:tcW w:w="8789" w:type="dxa"/>
            <w:shd w:val="clear" w:color="auto" w:fill="FFFF00"/>
          </w:tcPr>
          <w:p w14:paraId="5E6635D5" w14:textId="26877E65" w:rsidR="00B3772E" w:rsidRPr="00D61CC7" w:rsidRDefault="00B3772E" w:rsidP="0034727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B3772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d</w:t>
            </w:r>
            <w:r w:rsidRPr="00B3772E">
              <w:rPr>
                <w:sz w:val="20"/>
                <w:szCs w:val="20"/>
              </w:rPr>
              <w:t xml:space="preserve">elegation has developed an Emergency Contingency Plan which covers potential and predicted emergencies, in line with the NS </w:t>
            </w:r>
            <w:r w:rsidR="00384D6B">
              <w:rPr>
                <w:sz w:val="20"/>
                <w:szCs w:val="20"/>
              </w:rPr>
              <w:t>C</w:t>
            </w:r>
            <w:r w:rsidRPr="00B3772E">
              <w:rPr>
                <w:sz w:val="20"/>
                <w:szCs w:val="20"/>
              </w:rPr>
              <w:t xml:space="preserve">ontinency </w:t>
            </w:r>
            <w:r w:rsidR="00384D6B">
              <w:rPr>
                <w:sz w:val="20"/>
                <w:szCs w:val="20"/>
              </w:rPr>
              <w:t>P</w:t>
            </w:r>
            <w:r w:rsidRPr="00B3772E">
              <w:rPr>
                <w:sz w:val="20"/>
                <w:szCs w:val="20"/>
              </w:rPr>
              <w:t>lan.</w:t>
            </w:r>
            <w:r w:rsidRPr="00B3772E">
              <w:rPr>
                <w:rStyle w:val="EndnoteReference"/>
                <w:sz w:val="20"/>
                <w:szCs w:val="20"/>
              </w:rPr>
              <w:endnoteReference w:id="20"/>
            </w:r>
          </w:p>
        </w:tc>
        <w:sdt>
          <w:sdtPr>
            <w:rPr>
              <w:sz w:val="20"/>
              <w:szCs w:val="20"/>
            </w:rPr>
            <w:id w:val="-89388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122C0BEA" w14:textId="4D955DE0" w:rsidR="00B3772E" w:rsidRDefault="00B3772E" w:rsidP="00347273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3ED1DA30" w14:textId="77777777" w:rsidR="00B3772E" w:rsidRPr="006932BE" w:rsidRDefault="00B3772E" w:rsidP="00347273">
            <w:pPr>
              <w:rPr>
                <w:sz w:val="20"/>
                <w:szCs w:val="20"/>
              </w:rPr>
            </w:pPr>
          </w:p>
        </w:tc>
      </w:tr>
      <w:tr w:rsidR="00347273" w:rsidRPr="006932BE" w14:paraId="11C7758F" w14:textId="77777777" w:rsidTr="00CB36B8">
        <w:tc>
          <w:tcPr>
            <w:tcW w:w="3119" w:type="dxa"/>
            <w:vMerge w:val="restart"/>
            <w:shd w:val="clear" w:color="auto" w:fill="FFFFFF" w:themeFill="background1"/>
          </w:tcPr>
          <w:p w14:paraId="17A506ED" w14:textId="29ED67C3" w:rsidR="00347273" w:rsidRPr="006932BE" w:rsidRDefault="00711776" w:rsidP="003472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RCRC </w:t>
            </w:r>
            <w:r w:rsidR="00347273" w:rsidRPr="006932BE">
              <w:rPr>
                <w:b/>
                <w:sz w:val="20"/>
                <w:szCs w:val="20"/>
              </w:rPr>
              <w:t>Coordination</w:t>
            </w:r>
            <w:r w:rsidR="007527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shd w:val="clear" w:color="auto" w:fill="FFFF00"/>
          </w:tcPr>
          <w:p w14:paraId="310767D3" w14:textId="023B7B5D" w:rsidR="00347273" w:rsidRPr="00D61CC7" w:rsidRDefault="00347273" w:rsidP="0034727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highlight w:val="yellow"/>
              </w:rPr>
            </w:pPr>
            <w:r w:rsidRPr="00D61CC7">
              <w:rPr>
                <w:sz w:val="20"/>
                <w:szCs w:val="20"/>
                <w:highlight w:val="yellow"/>
              </w:rPr>
              <w:t xml:space="preserve">The </w:t>
            </w:r>
            <w:r w:rsidR="00CB36B8">
              <w:rPr>
                <w:sz w:val="20"/>
                <w:szCs w:val="20"/>
                <w:highlight w:val="yellow"/>
              </w:rPr>
              <w:t>d</w:t>
            </w:r>
            <w:r w:rsidRPr="00D61CC7">
              <w:rPr>
                <w:sz w:val="20"/>
                <w:szCs w:val="20"/>
                <w:highlight w:val="yellow"/>
              </w:rPr>
              <w:t>elegation has mapped the</w:t>
            </w:r>
            <w:r>
              <w:rPr>
                <w:sz w:val="20"/>
                <w:szCs w:val="20"/>
                <w:highlight w:val="yellow"/>
              </w:rPr>
              <w:t xml:space="preserve"> size, activities and locations of other</w:t>
            </w:r>
            <w:r w:rsidRPr="00D61CC7">
              <w:rPr>
                <w:sz w:val="20"/>
                <w:szCs w:val="20"/>
                <w:highlight w:val="yellow"/>
              </w:rPr>
              <w:t xml:space="preserve"> Movement components in the country, </w:t>
            </w:r>
            <w:r>
              <w:rPr>
                <w:sz w:val="20"/>
                <w:szCs w:val="20"/>
                <w:highlight w:val="yellow"/>
              </w:rPr>
              <w:t xml:space="preserve">noting </w:t>
            </w:r>
            <w:r w:rsidRPr="00D61CC7">
              <w:rPr>
                <w:sz w:val="20"/>
                <w:szCs w:val="20"/>
                <w:highlight w:val="yellow"/>
              </w:rPr>
              <w:t>key staff</w:t>
            </w:r>
            <w:r>
              <w:rPr>
                <w:sz w:val="20"/>
                <w:szCs w:val="20"/>
                <w:highlight w:val="yellow"/>
              </w:rPr>
              <w:t xml:space="preserve"> and </w:t>
            </w:r>
            <w:r w:rsidRPr="00D61CC7">
              <w:rPr>
                <w:sz w:val="20"/>
                <w:szCs w:val="20"/>
                <w:highlight w:val="yellow"/>
              </w:rPr>
              <w:t>contact details.</w:t>
            </w:r>
          </w:p>
        </w:tc>
        <w:sdt>
          <w:sdtPr>
            <w:rPr>
              <w:sz w:val="20"/>
              <w:szCs w:val="20"/>
              <w:highlight w:val="yellow"/>
            </w:rPr>
            <w:id w:val="178052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0426C633" w14:textId="7473CAB4" w:rsidR="00347273" w:rsidRPr="00D61CC7" w:rsidRDefault="00347273" w:rsidP="00347273">
                <w:pPr>
                  <w:rPr>
                    <w:sz w:val="20"/>
                    <w:szCs w:val="20"/>
                    <w:highlight w:val="yellow"/>
                  </w:rPr>
                </w:pPr>
                <w:r w:rsidRPr="00D61CC7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5E8E3D03" w14:textId="77777777" w:rsidR="00347273" w:rsidRPr="00D61CC7" w:rsidRDefault="00347273" w:rsidP="00347273">
            <w:pPr>
              <w:rPr>
                <w:sz w:val="20"/>
                <w:szCs w:val="20"/>
                <w:highlight w:val="yellow"/>
              </w:rPr>
            </w:pPr>
          </w:p>
        </w:tc>
      </w:tr>
      <w:tr w:rsidR="00347273" w:rsidRPr="006932BE" w14:paraId="18FA1B75" w14:textId="77777777" w:rsidTr="00CB36B8">
        <w:tc>
          <w:tcPr>
            <w:tcW w:w="3119" w:type="dxa"/>
            <w:vMerge/>
            <w:shd w:val="clear" w:color="auto" w:fill="FFFFFF" w:themeFill="background1"/>
          </w:tcPr>
          <w:p w14:paraId="79639BCE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7D5D2BB6" w14:textId="6999F018" w:rsidR="00347273" w:rsidRPr="00074FC1" w:rsidRDefault="00347273" w:rsidP="0034727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074FC1">
              <w:rPr>
                <w:sz w:val="20"/>
                <w:szCs w:val="20"/>
                <w:highlight w:val="yellow"/>
              </w:rPr>
              <w:t>There is a coordination structure with IFRC members</w:t>
            </w:r>
            <w:r w:rsidR="00EB24F9">
              <w:rPr>
                <w:sz w:val="20"/>
                <w:szCs w:val="20"/>
                <w:highlight w:val="yellow"/>
              </w:rPr>
              <w:t xml:space="preserve"> in country,</w:t>
            </w:r>
            <w:r w:rsidRPr="00074FC1">
              <w:rPr>
                <w:sz w:val="20"/>
                <w:szCs w:val="20"/>
                <w:highlight w:val="yellow"/>
              </w:rPr>
              <w:t xml:space="preserve"> in accordance with the Agenda for Renewal and Way of Working, and coordination on readiness activities.</w:t>
            </w:r>
            <w:r w:rsidRPr="00074FC1">
              <w:rPr>
                <w:rStyle w:val="EndnoteReference"/>
                <w:sz w:val="20"/>
                <w:szCs w:val="20"/>
                <w:highlight w:val="yellow"/>
              </w:rPr>
              <w:endnoteReference w:id="21"/>
            </w:r>
          </w:p>
        </w:tc>
        <w:sdt>
          <w:sdtPr>
            <w:rPr>
              <w:sz w:val="20"/>
              <w:szCs w:val="20"/>
              <w:highlight w:val="yellow"/>
            </w:rPr>
            <w:id w:val="142121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7A62EB4F" w14:textId="43764EE0" w:rsidR="00347273" w:rsidRPr="00D61CC7" w:rsidRDefault="00347273" w:rsidP="00347273">
                <w:pPr>
                  <w:rPr>
                    <w:sz w:val="20"/>
                    <w:szCs w:val="20"/>
                    <w:highlight w:val="yellow"/>
                  </w:rPr>
                </w:pPr>
                <w:r w:rsidRPr="00D61CC7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3FEA4231" w14:textId="77777777" w:rsidR="00347273" w:rsidRPr="00D61CC7" w:rsidRDefault="00347273" w:rsidP="00347273">
            <w:pPr>
              <w:rPr>
                <w:sz w:val="20"/>
                <w:szCs w:val="20"/>
                <w:highlight w:val="yellow"/>
              </w:rPr>
            </w:pPr>
          </w:p>
        </w:tc>
      </w:tr>
      <w:tr w:rsidR="00347273" w:rsidRPr="006932BE" w14:paraId="4ABB1887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66B2CC81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745C70EA" w14:textId="399138E6" w:rsidR="00347273" w:rsidRDefault="00347273" w:rsidP="0034727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a</w:t>
            </w:r>
            <w:r w:rsidR="00B7625E">
              <w:rPr>
                <w:rFonts w:cstheme="minorHAnsi"/>
                <w:sz w:val="20"/>
                <w:szCs w:val="20"/>
              </w:rPr>
              <w:t xml:space="preserve"> member NS</w:t>
            </w:r>
            <w:r>
              <w:rPr>
                <w:rFonts w:cstheme="minorHAnsi"/>
                <w:sz w:val="20"/>
                <w:szCs w:val="20"/>
              </w:rPr>
              <w:t xml:space="preserve"> is co-leading in a sector with the NS</w:t>
            </w:r>
            <w:r w:rsidR="00A61664">
              <w:rPr>
                <w:rFonts w:cstheme="minorHAnsi"/>
                <w:sz w:val="20"/>
                <w:szCs w:val="20"/>
              </w:rPr>
              <w:t xml:space="preserve"> of the country</w:t>
            </w:r>
            <w:r>
              <w:rPr>
                <w:rFonts w:cstheme="minorHAnsi"/>
                <w:sz w:val="20"/>
                <w:szCs w:val="20"/>
              </w:rPr>
              <w:t xml:space="preserve">, shared leadership </w:t>
            </w:r>
            <w:r w:rsidR="00D47D5B">
              <w:rPr>
                <w:rFonts w:cstheme="minorHAnsi"/>
                <w:sz w:val="20"/>
                <w:szCs w:val="20"/>
              </w:rPr>
              <w:t>modalities are agreed upon.</w:t>
            </w:r>
          </w:p>
        </w:tc>
        <w:sdt>
          <w:sdtPr>
            <w:rPr>
              <w:sz w:val="20"/>
              <w:szCs w:val="20"/>
            </w:rPr>
            <w:id w:val="20461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1964AB1C" w14:textId="1EE9495C" w:rsidR="00347273" w:rsidRDefault="00347273" w:rsidP="00347273">
                <w:pPr>
                  <w:rPr>
                    <w:sz w:val="20"/>
                    <w:szCs w:val="20"/>
                    <w:highlight w:val="yellow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46050C71" w14:textId="77777777" w:rsidR="00347273" w:rsidRPr="00D61CC7" w:rsidRDefault="00347273" w:rsidP="00347273">
            <w:pPr>
              <w:rPr>
                <w:sz w:val="20"/>
                <w:szCs w:val="20"/>
                <w:highlight w:val="yellow"/>
              </w:rPr>
            </w:pPr>
          </w:p>
        </w:tc>
      </w:tr>
      <w:tr w:rsidR="00347273" w:rsidRPr="006932BE" w14:paraId="13DDD7E1" w14:textId="77777777" w:rsidTr="002F11C6">
        <w:tc>
          <w:tcPr>
            <w:tcW w:w="3119" w:type="dxa"/>
            <w:vMerge/>
            <w:shd w:val="clear" w:color="auto" w:fill="FFFFFF" w:themeFill="background1"/>
          </w:tcPr>
          <w:p w14:paraId="0744D781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00"/>
          </w:tcPr>
          <w:p w14:paraId="770C1ED7" w14:textId="3937ED8D" w:rsidR="00347273" w:rsidRPr="00D61CC7" w:rsidRDefault="00347273" w:rsidP="0034727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Where ICRC is present, there is a basic coordination structure with ICRC</w:t>
            </w:r>
            <w:r w:rsidR="00D347B3">
              <w:rPr>
                <w:sz w:val="20"/>
                <w:szCs w:val="20"/>
                <w:highlight w:val="yellow"/>
              </w:rPr>
              <w:t xml:space="preserve"> and NSs</w:t>
            </w:r>
            <w:r>
              <w:rPr>
                <w:sz w:val="20"/>
                <w:szCs w:val="20"/>
                <w:highlight w:val="yellow"/>
              </w:rPr>
              <w:t xml:space="preserve"> in country.</w:t>
            </w:r>
          </w:p>
        </w:tc>
        <w:sdt>
          <w:sdtPr>
            <w:rPr>
              <w:sz w:val="20"/>
              <w:szCs w:val="20"/>
              <w:highlight w:val="yellow"/>
            </w:rPr>
            <w:id w:val="119988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27081A0A" w14:textId="3FE87CF7" w:rsidR="00347273" w:rsidRDefault="00EB24F9" w:rsidP="00347273">
                <w:pPr>
                  <w:rPr>
                    <w:sz w:val="20"/>
                    <w:szCs w:val="20"/>
                    <w:highlight w:val="yellow"/>
                  </w:rPr>
                </w:pPr>
                <w:r w:rsidRPr="00D61CC7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7CDBB5E4" w14:textId="77777777" w:rsidR="00347273" w:rsidRPr="00D61CC7" w:rsidRDefault="00347273" w:rsidP="00347273">
            <w:pPr>
              <w:rPr>
                <w:sz w:val="20"/>
                <w:szCs w:val="20"/>
                <w:highlight w:val="yellow"/>
              </w:rPr>
            </w:pPr>
          </w:p>
        </w:tc>
      </w:tr>
      <w:tr w:rsidR="00347273" w:rsidRPr="006932BE" w14:paraId="59EC2D13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73DF2B33" w14:textId="77777777" w:rsidR="00347273" w:rsidRPr="006932BE" w:rsidRDefault="00347273" w:rsidP="00347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538944DA" w14:textId="05E740E5" w:rsidR="00347273" w:rsidRPr="006932BE" w:rsidRDefault="00347273" w:rsidP="0034727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6932BE">
              <w:rPr>
                <w:rFonts w:cstheme="minorHAnsi"/>
                <w:sz w:val="20"/>
                <w:szCs w:val="20"/>
              </w:rPr>
              <w:t>here is a Movement Coordination Agreement (MCA) in place.</w:t>
            </w:r>
            <w:r>
              <w:rPr>
                <w:rStyle w:val="EndnoteReference"/>
                <w:rFonts w:cstheme="minorHAnsi"/>
                <w:sz w:val="20"/>
                <w:szCs w:val="20"/>
              </w:rPr>
              <w:endnoteReference w:id="22"/>
            </w:r>
          </w:p>
        </w:tc>
        <w:sdt>
          <w:sdtPr>
            <w:rPr>
              <w:sz w:val="20"/>
              <w:szCs w:val="20"/>
            </w:rPr>
            <w:id w:val="-117564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54234CD1" w14:textId="62E52A2C" w:rsidR="00347273" w:rsidRDefault="00347273" w:rsidP="00347273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6946BDCC" w14:textId="77777777" w:rsidR="00347273" w:rsidRPr="006932BE" w:rsidRDefault="00347273" w:rsidP="00347273">
            <w:pPr>
              <w:rPr>
                <w:sz w:val="20"/>
                <w:szCs w:val="20"/>
              </w:rPr>
            </w:pPr>
          </w:p>
        </w:tc>
      </w:tr>
      <w:tr w:rsidR="002B7865" w:rsidRPr="006932BE" w14:paraId="2111DB0D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54B58380" w14:textId="77777777" w:rsidR="002B7865" w:rsidRPr="006932BE" w:rsidRDefault="002B7865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5282B4FE" w14:textId="450D471B" w:rsidR="002B7865" w:rsidRDefault="002B7865" w:rsidP="002B786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6932BE">
              <w:rPr>
                <w:rFonts w:cstheme="minorHAnsi"/>
                <w:sz w:val="20"/>
                <w:szCs w:val="20"/>
              </w:rPr>
              <w:t xml:space="preserve">he </w:t>
            </w:r>
            <w:proofErr w:type="spellStart"/>
            <w:r w:rsidRPr="006932BE">
              <w:rPr>
                <w:rFonts w:cstheme="minorHAnsi"/>
                <w:sz w:val="20"/>
                <w:szCs w:val="20"/>
              </w:rPr>
              <w:t>HoD</w:t>
            </w:r>
            <w:proofErr w:type="spellEnd"/>
            <w:r w:rsidRPr="006932BE">
              <w:rPr>
                <w:rFonts w:cstheme="minorHAnsi"/>
                <w:sz w:val="20"/>
                <w:szCs w:val="20"/>
              </w:rPr>
              <w:t xml:space="preserve"> and relevant staff understand and are trained on SMCC</w:t>
            </w:r>
            <w:r>
              <w:rPr>
                <w:rFonts w:cstheme="minorHAnsi"/>
                <w:sz w:val="20"/>
                <w:szCs w:val="20"/>
              </w:rPr>
              <w:t xml:space="preserve"> approaches and the </w:t>
            </w:r>
            <w:hyperlink r:id="rId23" w:history="1">
              <w:r w:rsidRPr="00EA619A">
                <w:rPr>
                  <w:rStyle w:val="Hyperlink"/>
                  <w:sz w:val="20"/>
                  <w:szCs w:val="20"/>
                </w:rPr>
                <w:t>Movement Coordination Toolkit</w:t>
              </w:r>
            </w:hyperlink>
            <w:r>
              <w:rPr>
                <w:rFonts w:cstheme="minorHAnsi"/>
                <w:sz w:val="20"/>
                <w:szCs w:val="20"/>
              </w:rPr>
              <w:t>,</w:t>
            </w:r>
            <w:r w:rsidRPr="006932BE">
              <w:rPr>
                <w:rFonts w:cstheme="minorHAnsi"/>
                <w:sz w:val="20"/>
                <w:szCs w:val="20"/>
              </w:rPr>
              <w:t xml:space="preserve"> and activation of the Seville Agreement 2.0.</w:t>
            </w:r>
            <w:r>
              <w:rPr>
                <w:rStyle w:val="EndnoteReference"/>
                <w:rFonts w:cstheme="minorHAnsi"/>
                <w:sz w:val="20"/>
                <w:szCs w:val="20"/>
              </w:rPr>
              <w:endnoteReference w:id="23"/>
            </w:r>
          </w:p>
        </w:tc>
        <w:sdt>
          <w:sdtPr>
            <w:rPr>
              <w:sz w:val="20"/>
              <w:szCs w:val="20"/>
            </w:rPr>
            <w:id w:val="145729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7B6658E6" w14:textId="6F2179B2" w:rsidR="002B7865" w:rsidRDefault="002B7865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206D6D96" w14:textId="77777777" w:rsidR="002B7865" w:rsidRPr="006932BE" w:rsidRDefault="002B7865" w:rsidP="002B7865">
            <w:pPr>
              <w:rPr>
                <w:sz w:val="20"/>
                <w:szCs w:val="20"/>
              </w:rPr>
            </w:pPr>
          </w:p>
        </w:tc>
      </w:tr>
      <w:tr w:rsidR="002B7865" w:rsidRPr="006932BE" w14:paraId="2EF86B9D" w14:textId="77777777" w:rsidTr="0030610C">
        <w:tc>
          <w:tcPr>
            <w:tcW w:w="3119" w:type="dxa"/>
            <w:vMerge w:val="restart"/>
            <w:shd w:val="clear" w:color="auto" w:fill="FFFFFF" w:themeFill="background1"/>
          </w:tcPr>
          <w:p w14:paraId="1D3F645A" w14:textId="18205A87" w:rsidR="002B7865" w:rsidRPr="006932BE" w:rsidRDefault="000A5FD3" w:rsidP="002B7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External Coordination</w:t>
            </w:r>
          </w:p>
        </w:tc>
        <w:tc>
          <w:tcPr>
            <w:tcW w:w="8789" w:type="dxa"/>
            <w:shd w:val="clear" w:color="auto" w:fill="FFFF00"/>
          </w:tcPr>
          <w:p w14:paraId="23F9884B" w14:textId="6CA8D8D8" w:rsidR="002B7865" w:rsidRDefault="0002742F" w:rsidP="002B786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The delegation </w:t>
            </w:r>
            <w:r w:rsidR="009A707B">
              <w:rPr>
                <w:sz w:val="20"/>
                <w:szCs w:val="20"/>
                <w:highlight w:val="yellow"/>
              </w:rPr>
              <w:t xml:space="preserve">knows of the </w:t>
            </w:r>
            <w:r w:rsidR="002B7865" w:rsidRPr="00D61CC7">
              <w:rPr>
                <w:sz w:val="20"/>
                <w:szCs w:val="20"/>
                <w:highlight w:val="yellow"/>
              </w:rPr>
              <w:t>other humanitarian actors and disaster management authorities</w:t>
            </w:r>
            <w:r w:rsidR="009A707B">
              <w:rPr>
                <w:sz w:val="20"/>
                <w:szCs w:val="20"/>
              </w:rPr>
              <w:t xml:space="preserve"> in the country</w:t>
            </w:r>
            <w:r w:rsidR="003B247F">
              <w:rPr>
                <w:sz w:val="20"/>
                <w:szCs w:val="20"/>
              </w:rPr>
              <w:t>, noting key staff and contact details.</w:t>
            </w:r>
          </w:p>
        </w:tc>
        <w:sdt>
          <w:sdtPr>
            <w:rPr>
              <w:sz w:val="20"/>
              <w:szCs w:val="20"/>
            </w:rPr>
            <w:id w:val="-179481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36EE768B" w14:textId="42E651F9" w:rsidR="002B7865" w:rsidRDefault="002B7865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75468F67" w14:textId="77777777" w:rsidR="002B7865" w:rsidRPr="006932BE" w:rsidRDefault="002B7865" w:rsidP="002B7865">
            <w:pPr>
              <w:rPr>
                <w:sz w:val="20"/>
                <w:szCs w:val="20"/>
              </w:rPr>
            </w:pPr>
          </w:p>
        </w:tc>
      </w:tr>
      <w:tr w:rsidR="002B7865" w:rsidRPr="006932BE" w14:paraId="0343724E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7D17F5D7" w14:textId="77777777" w:rsidR="002B7865" w:rsidRPr="006932BE" w:rsidRDefault="002B7865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1B3F35B7" w14:textId="4BAD3745" w:rsidR="002B7865" w:rsidRPr="00B3772E" w:rsidRDefault="002B7865" w:rsidP="002B786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B3772E">
              <w:rPr>
                <w:sz w:val="20"/>
                <w:szCs w:val="20"/>
              </w:rPr>
              <w:t>The delegation coordinates with relevant government and humanitarian agencies in the country</w:t>
            </w:r>
            <w:r w:rsidR="00006241">
              <w:rPr>
                <w:sz w:val="20"/>
                <w:szCs w:val="20"/>
              </w:rPr>
              <w:t xml:space="preserve">, </w:t>
            </w:r>
            <w:proofErr w:type="spellStart"/>
            <w:r w:rsidR="00006241">
              <w:rPr>
                <w:sz w:val="20"/>
                <w:szCs w:val="20"/>
              </w:rPr>
              <w:t>e.g</w:t>
            </w:r>
            <w:proofErr w:type="spellEnd"/>
            <w:r w:rsidR="00603D21">
              <w:rPr>
                <w:sz w:val="20"/>
                <w:szCs w:val="20"/>
              </w:rPr>
              <w:t xml:space="preserve"> through</w:t>
            </w:r>
            <w:r w:rsidR="00875C2F">
              <w:rPr>
                <w:sz w:val="20"/>
                <w:szCs w:val="20"/>
              </w:rPr>
              <w:t xml:space="preserve"> participation in humanitarian coordination mechanisms</w:t>
            </w:r>
            <w:r>
              <w:rPr>
                <w:sz w:val="20"/>
                <w:szCs w:val="20"/>
              </w:rPr>
              <w:t xml:space="preserve"> </w:t>
            </w:r>
            <w:r w:rsidR="00006241">
              <w:rPr>
                <w:sz w:val="20"/>
                <w:szCs w:val="20"/>
              </w:rPr>
              <w:t>(standing and/or activated in emergencies.)</w:t>
            </w:r>
          </w:p>
        </w:tc>
        <w:sdt>
          <w:sdtPr>
            <w:rPr>
              <w:sz w:val="20"/>
              <w:szCs w:val="20"/>
            </w:rPr>
            <w:id w:val="42146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62FC63A7" w14:textId="0BC07FDD" w:rsidR="002B7865" w:rsidRDefault="002B7865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0787E406" w14:textId="77777777" w:rsidR="002B7865" w:rsidRPr="006932BE" w:rsidRDefault="002B7865" w:rsidP="002B7865">
            <w:pPr>
              <w:rPr>
                <w:sz w:val="20"/>
                <w:szCs w:val="20"/>
              </w:rPr>
            </w:pPr>
          </w:p>
        </w:tc>
      </w:tr>
      <w:tr w:rsidR="002B7865" w:rsidRPr="006932BE" w14:paraId="57B18C6D" w14:textId="77777777" w:rsidTr="00D42F1C">
        <w:tc>
          <w:tcPr>
            <w:tcW w:w="3119" w:type="dxa"/>
            <w:vMerge w:val="restart"/>
            <w:shd w:val="clear" w:color="auto" w:fill="FFFFFF" w:themeFill="background1"/>
          </w:tcPr>
          <w:p w14:paraId="15594209" w14:textId="7C5FE9EC" w:rsidR="002B7865" w:rsidRPr="006932BE" w:rsidRDefault="002B7865" w:rsidP="002B7865">
            <w:pPr>
              <w:rPr>
                <w:b/>
                <w:bCs/>
                <w:sz w:val="20"/>
                <w:szCs w:val="20"/>
              </w:rPr>
            </w:pPr>
            <w:r w:rsidRPr="006932BE">
              <w:rPr>
                <w:b/>
                <w:bCs/>
                <w:sz w:val="20"/>
                <w:szCs w:val="20"/>
              </w:rPr>
              <w:t>Cash and Voucher Assistance (CVA)</w:t>
            </w:r>
          </w:p>
        </w:tc>
        <w:tc>
          <w:tcPr>
            <w:tcW w:w="8789" w:type="dxa"/>
            <w:shd w:val="clear" w:color="auto" w:fill="FFFFFF" w:themeFill="background1"/>
          </w:tcPr>
          <w:p w14:paraId="1C47095F" w14:textId="6C697295" w:rsidR="001401D7" w:rsidRPr="001D1F04" w:rsidRDefault="002B7865" w:rsidP="001D1F0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HoD</w:t>
            </w:r>
            <w:proofErr w:type="spellEnd"/>
            <w:r>
              <w:rPr>
                <w:sz w:val="20"/>
                <w:szCs w:val="20"/>
              </w:rPr>
              <w:t xml:space="preserve"> and relevant staff</w:t>
            </w:r>
            <w:r w:rsidRPr="006932BE">
              <w:rPr>
                <w:sz w:val="20"/>
                <w:szCs w:val="20"/>
              </w:rPr>
              <w:t xml:space="preserve"> </w:t>
            </w:r>
            <w:r w:rsidR="006D4BFD" w:rsidRPr="00B17BC6">
              <w:rPr>
                <w:rFonts w:cstheme="minorHAnsi"/>
                <w:sz w:val="20"/>
                <w:szCs w:val="20"/>
              </w:rPr>
              <w:t>(i.e. Program Coordinators, CVA Focal Point</w:t>
            </w:r>
            <w:r w:rsidR="00097D57">
              <w:rPr>
                <w:sz w:val="20"/>
                <w:szCs w:val="20"/>
              </w:rPr>
              <w:t xml:space="preserve">) </w:t>
            </w:r>
            <w:r w:rsidRPr="006932BE">
              <w:rPr>
                <w:sz w:val="20"/>
                <w:szCs w:val="20"/>
              </w:rPr>
              <w:t>understand</w:t>
            </w:r>
            <w:r>
              <w:rPr>
                <w:sz w:val="20"/>
                <w:szCs w:val="20"/>
              </w:rPr>
              <w:t xml:space="preserve"> and have been trained on CVA at the IFRC.</w:t>
            </w:r>
            <w:r w:rsidR="004E3013">
              <w:rPr>
                <w:sz w:val="20"/>
                <w:szCs w:val="20"/>
              </w:rPr>
              <w:t xml:space="preserve"> See endnote for </w:t>
            </w:r>
            <w:r w:rsidR="001D1F04">
              <w:rPr>
                <w:sz w:val="20"/>
                <w:szCs w:val="20"/>
              </w:rPr>
              <w:t xml:space="preserve">e-learning </w:t>
            </w:r>
            <w:r w:rsidR="004E3013">
              <w:rPr>
                <w:sz w:val="20"/>
                <w:szCs w:val="20"/>
              </w:rPr>
              <w:t>courses</w:t>
            </w:r>
            <w:r w:rsidR="001D1F04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</w:t>
            </w:r>
            <w:r>
              <w:rPr>
                <w:rStyle w:val="EndnoteReference"/>
                <w:sz w:val="20"/>
                <w:szCs w:val="20"/>
              </w:rPr>
              <w:endnoteReference w:id="24"/>
            </w:r>
          </w:p>
        </w:tc>
        <w:sdt>
          <w:sdtPr>
            <w:rPr>
              <w:sz w:val="20"/>
              <w:szCs w:val="20"/>
            </w:rPr>
            <w:id w:val="-9055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6C3F3A88" w14:textId="72C3EC41" w:rsidR="002B7865" w:rsidRDefault="002B7865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50B55603" w14:textId="77777777" w:rsidR="002B7865" w:rsidRPr="006932BE" w:rsidRDefault="002B7865" w:rsidP="002B7865">
            <w:pPr>
              <w:rPr>
                <w:sz w:val="20"/>
                <w:szCs w:val="20"/>
              </w:rPr>
            </w:pPr>
          </w:p>
        </w:tc>
      </w:tr>
      <w:tr w:rsidR="002B7865" w:rsidRPr="006932BE" w14:paraId="2181AF08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2C72EAD4" w14:textId="77777777" w:rsidR="002B7865" w:rsidRPr="006932BE" w:rsidRDefault="002B7865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4FA79D8F" w14:textId="73E49DAF" w:rsidR="0059017F" w:rsidRPr="00D65ECF" w:rsidRDefault="0059017F" w:rsidP="00D65EC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65ECF">
              <w:rPr>
                <w:sz w:val="20"/>
                <w:szCs w:val="20"/>
              </w:rPr>
              <w:t>The NS cash capacities have been mapped.</w:t>
            </w:r>
            <w:r w:rsidR="00D65ECF">
              <w:rPr>
                <w:rStyle w:val="EndnoteReference"/>
                <w:sz w:val="20"/>
                <w:szCs w:val="20"/>
              </w:rPr>
              <w:endnoteReference w:id="25"/>
            </w:r>
            <w:r w:rsidRPr="00D65ECF">
              <w:rPr>
                <w:sz w:val="20"/>
                <w:szCs w:val="20"/>
              </w:rPr>
              <w:t xml:space="preserve">  </w:t>
            </w:r>
          </w:p>
        </w:tc>
        <w:sdt>
          <w:sdtPr>
            <w:rPr>
              <w:sz w:val="20"/>
              <w:szCs w:val="20"/>
            </w:rPr>
            <w:id w:val="61927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6C5448EB" w14:textId="7C772944" w:rsidR="002B7865" w:rsidRDefault="002B7865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787E54A1" w14:textId="77777777" w:rsidR="002B7865" w:rsidRPr="006932BE" w:rsidRDefault="002B7865" w:rsidP="002B7865">
            <w:pPr>
              <w:rPr>
                <w:sz w:val="20"/>
                <w:szCs w:val="20"/>
              </w:rPr>
            </w:pPr>
          </w:p>
        </w:tc>
      </w:tr>
      <w:tr w:rsidR="002B7865" w:rsidRPr="006932BE" w14:paraId="7999FCE5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2DD7EE93" w14:textId="77777777" w:rsidR="002B7865" w:rsidRPr="006932BE" w:rsidRDefault="002B7865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4FE83E84" w14:textId="20F5878B" w:rsidR="007853FF" w:rsidRPr="001E0B5D" w:rsidRDefault="007853FF" w:rsidP="001E0B5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A30250">
              <w:rPr>
                <w:sz w:val="20"/>
                <w:szCs w:val="20"/>
              </w:rPr>
              <w:t>The delegation has discussed opportunities for CVA with the NS and has encouraged the NS to become cash ready by including CVA in its Preparedness for Effective Response (PER) activities.</w:t>
            </w:r>
            <w:r w:rsidRPr="1C6068EF">
              <w:rPr>
                <w:rStyle w:val="EndnoteReference"/>
                <w:sz w:val="20"/>
                <w:szCs w:val="20"/>
              </w:rPr>
              <w:endnoteReference w:id="26"/>
            </w:r>
          </w:p>
        </w:tc>
        <w:sdt>
          <w:sdtPr>
            <w:rPr>
              <w:sz w:val="20"/>
              <w:szCs w:val="20"/>
            </w:rPr>
            <w:id w:val="-103033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1BB321E0" w14:textId="399C4483" w:rsidR="002B7865" w:rsidRDefault="002B7865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422752A3" w14:textId="77777777" w:rsidR="002B7865" w:rsidRPr="006932BE" w:rsidRDefault="002B7865" w:rsidP="002B7865">
            <w:pPr>
              <w:rPr>
                <w:sz w:val="20"/>
                <w:szCs w:val="20"/>
              </w:rPr>
            </w:pPr>
          </w:p>
        </w:tc>
      </w:tr>
      <w:tr w:rsidR="0032701F" w:rsidRPr="006932BE" w14:paraId="59181496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720F53E3" w14:textId="77777777" w:rsidR="0032701F" w:rsidRPr="006932BE" w:rsidRDefault="0032701F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51122A78" w14:textId="57D1946F" w:rsidR="0032701F" w:rsidRPr="00EE5B85" w:rsidRDefault="003A194B" w:rsidP="00EE5B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delegation is supporting the NS with Cash Preparedness design, planning, and implementation. </w:t>
            </w:r>
            <w:r w:rsidR="004C6D32">
              <w:rPr>
                <w:sz w:val="20"/>
                <w:szCs w:val="20"/>
              </w:rPr>
              <w:t>See endnote for resources.</w:t>
            </w:r>
            <w:r w:rsidR="00AF0F06">
              <w:rPr>
                <w:rStyle w:val="EndnoteReference"/>
                <w:sz w:val="20"/>
                <w:szCs w:val="20"/>
              </w:rPr>
              <w:endnoteReference w:id="27"/>
            </w:r>
          </w:p>
        </w:tc>
        <w:sdt>
          <w:sdtPr>
            <w:rPr>
              <w:sz w:val="20"/>
              <w:szCs w:val="20"/>
            </w:rPr>
            <w:id w:val="95113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40F412F0" w14:textId="69A7204B" w:rsidR="0032701F" w:rsidRDefault="00EE5B85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6E8756C1" w14:textId="77777777" w:rsidR="0032701F" w:rsidRPr="006932BE" w:rsidRDefault="0032701F" w:rsidP="002B7865">
            <w:pPr>
              <w:rPr>
                <w:sz w:val="20"/>
                <w:szCs w:val="20"/>
              </w:rPr>
            </w:pPr>
          </w:p>
        </w:tc>
      </w:tr>
      <w:tr w:rsidR="002B7865" w:rsidRPr="006932BE" w14:paraId="65ED8679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77D20C13" w14:textId="77777777" w:rsidR="002B7865" w:rsidRPr="006932BE" w:rsidRDefault="002B7865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50263E78" w14:textId="320A5A72" w:rsidR="002B7865" w:rsidRDefault="002B7865" w:rsidP="002B786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Potential Financial Service Providers (FSP) have been mapped (including the possibility to use, currently via exception, the FSP of the local National Society or of another agency.)</w:t>
            </w:r>
            <w:r w:rsidR="00BB3095">
              <w:rPr>
                <w:sz w:val="20"/>
                <w:szCs w:val="20"/>
              </w:rPr>
              <w:t xml:space="preserve"> The result of this process will be FSP Mapping/ Assessment Report</w:t>
            </w:r>
            <w:r w:rsidR="00BB7728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19495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66376E50" w14:textId="76B200A6" w:rsidR="002B7865" w:rsidRDefault="002B7865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778FE267" w14:textId="77777777" w:rsidR="002B7865" w:rsidRPr="006932BE" w:rsidRDefault="002B7865" w:rsidP="002B7865">
            <w:pPr>
              <w:rPr>
                <w:sz w:val="20"/>
                <w:szCs w:val="20"/>
              </w:rPr>
            </w:pPr>
          </w:p>
        </w:tc>
      </w:tr>
      <w:tr w:rsidR="002B7865" w:rsidRPr="006932BE" w14:paraId="03998C21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3A43DE60" w14:textId="77777777" w:rsidR="002B7865" w:rsidRPr="006932BE" w:rsidRDefault="002B7865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58B6CF15" w14:textId="4ACD7974" w:rsidR="002B7865" w:rsidRDefault="002B7865" w:rsidP="002B786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932BE">
              <w:rPr>
                <w:sz w:val="20"/>
                <w:szCs w:val="20"/>
              </w:rPr>
              <w:t>A local FSP has been selected (via procurement process or use of FSP of the local NS or another agency) and there is an agreement in place.</w:t>
            </w:r>
          </w:p>
        </w:tc>
        <w:sdt>
          <w:sdtPr>
            <w:rPr>
              <w:sz w:val="20"/>
              <w:szCs w:val="20"/>
            </w:rPr>
            <w:id w:val="126873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78333A08" w14:textId="0BD58DDC" w:rsidR="002B7865" w:rsidRDefault="002B7865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60464A34" w14:textId="77777777" w:rsidR="002B7865" w:rsidRPr="006932BE" w:rsidRDefault="002B7865" w:rsidP="002B7865">
            <w:pPr>
              <w:rPr>
                <w:sz w:val="20"/>
                <w:szCs w:val="20"/>
              </w:rPr>
            </w:pPr>
          </w:p>
        </w:tc>
      </w:tr>
      <w:tr w:rsidR="002B7865" w:rsidRPr="006932BE" w14:paraId="2DC748B2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5C4BD563" w14:textId="77777777" w:rsidR="002B7865" w:rsidRPr="006932BE" w:rsidRDefault="002B7865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64462BC7" w14:textId="2EBDF8CA" w:rsidR="006F08B1" w:rsidRPr="005F4353" w:rsidRDefault="006F08B1" w:rsidP="005F435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5F4353">
              <w:rPr>
                <w:rFonts w:cstheme="minorHAnsi"/>
                <w:sz w:val="20"/>
                <w:szCs w:val="20"/>
              </w:rPr>
              <w:t>The delegation is supporting the NS in CVA advocacy/ influencing of policy with the respective authorities.</w:t>
            </w:r>
          </w:p>
        </w:tc>
        <w:sdt>
          <w:sdtPr>
            <w:rPr>
              <w:sz w:val="20"/>
              <w:szCs w:val="20"/>
            </w:rPr>
            <w:id w:val="89547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730A51F3" w14:textId="7BB65FCE" w:rsidR="002B7865" w:rsidRDefault="002B7865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6DF6BD41" w14:textId="77777777" w:rsidR="002B7865" w:rsidRPr="006932BE" w:rsidRDefault="002B7865" w:rsidP="002B7865">
            <w:pPr>
              <w:rPr>
                <w:sz w:val="20"/>
                <w:szCs w:val="20"/>
              </w:rPr>
            </w:pPr>
          </w:p>
        </w:tc>
      </w:tr>
      <w:tr w:rsidR="00DE17D8" w:rsidRPr="006932BE" w14:paraId="5214F9C2" w14:textId="77777777" w:rsidTr="00D42F1C">
        <w:tc>
          <w:tcPr>
            <w:tcW w:w="3119" w:type="dxa"/>
            <w:vMerge w:val="restart"/>
            <w:shd w:val="clear" w:color="auto" w:fill="FFFFFF" w:themeFill="background1"/>
          </w:tcPr>
          <w:p w14:paraId="6B55E2C1" w14:textId="5179B472" w:rsidR="00DE17D8" w:rsidRPr="006932BE" w:rsidRDefault="00DE17D8" w:rsidP="002B7865">
            <w:pPr>
              <w:rPr>
                <w:b/>
                <w:bCs/>
                <w:sz w:val="20"/>
                <w:szCs w:val="20"/>
              </w:rPr>
            </w:pPr>
            <w:r w:rsidRPr="005A46E1">
              <w:rPr>
                <w:b/>
                <w:bCs/>
                <w:sz w:val="20"/>
                <w:szCs w:val="20"/>
              </w:rPr>
              <w:t>Anticipatory Action (where there are predictable events)</w:t>
            </w:r>
          </w:p>
        </w:tc>
        <w:tc>
          <w:tcPr>
            <w:tcW w:w="8789" w:type="dxa"/>
            <w:shd w:val="clear" w:color="auto" w:fill="FFFFFF" w:themeFill="background1"/>
          </w:tcPr>
          <w:p w14:paraId="58E8FF1F" w14:textId="79485E8E" w:rsidR="00DE17D8" w:rsidRDefault="00DE17D8" w:rsidP="002B786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relevant staff understand and have been trained on the anticipatory action pillar of the DREF.</w:t>
            </w:r>
            <w:r>
              <w:rPr>
                <w:rStyle w:val="EndnoteReference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EndnoteReference"/>
                <w:rFonts w:cstheme="minorHAnsi"/>
                <w:sz w:val="20"/>
                <w:szCs w:val="20"/>
              </w:rPr>
              <w:endnoteReference w:id="28"/>
            </w:r>
          </w:p>
        </w:tc>
        <w:sdt>
          <w:sdtPr>
            <w:rPr>
              <w:sz w:val="20"/>
              <w:szCs w:val="20"/>
            </w:rPr>
            <w:id w:val="193370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7D902F96" w14:textId="3DECC71A" w:rsidR="00DE17D8" w:rsidRDefault="00DE17D8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1F7E79D7" w14:textId="77777777" w:rsidR="00DE17D8" w:rsidRPr="006932BE" w:rsidRDefault="00DE17D8" w:rsidP="002B7865">
            <w:pPr>
              <w:rPr>
                <w:sz w:val="20"/>
                <w:szCs w:val="20"/>
              </w:rPr>
            </w:pPr>
          </w:p>
        </w:tc>
      </w:tr>
      <w:tr w:rsidR="00DE17D8" w:rsidRPr="006932BE" w14:paraId="1560FF58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3B01339A" w14:textId="77777777" w:rsidR="00DE17D8" w:rsidRPr="005A46E1" w:rsidRDefault="00DE17D8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38256A5F" w14:textId="174AB734" w:rsidR="00DE17D8" w:rsidRDefault="00DE17D8" w:rsidP="002B786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delegation has discussed with the NS the anticipatory action pillar of the DREF.</w:t>
            </w:r>
          </w:p>
        </w:tc>
        <w:sdt>
          <w:sdtPr>
            <w:rPr>
              <w:sz w:val="20"/>
              <w:szCs w:val="20"/>
            </w:rPr>
            <w:id w:val="154271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0E6E86AC" w14:textId="5461F806" w:rsidR="00DE17D8" w:rsidRDefault="00DE17D8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413124E3" w14:textId="77777777" w:rsidR="00DE17D8" w:rsidRPr="006932BE" w:rsidRDefault="00DE17D8" w:rsidP="002B7865">
            <w:pPr>
              <w:rPr>
                <w:sz w:val="20"/>
                <w:szCs w:val="20"/>
              </w:rPr>
            </w:pPr>
          </w:p>
        </w:tc>
      </w:tr>
      <w:tr w:rsidR="00BA228F" w:rsidRPr="006932BE" w14:paraId="6D756A10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216E11A2" w14:textId="77777777" w:rsidR="00BA228F" w:rsidRPr="005A46E1" w:rsidRDefault="00BA228F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16A74886" w14:textId="6AF0FE85" w:rsidR="00BA228F" w:rsidRDefault="00BA228F" w:rsidP="002B786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delegation supports the NS in its </w:t>
            </w:r>
            <w:r w:rsidR="00EA26C6">
              <w:rPr>
                <w:rFonts w:cstheme="minorHAnsi"/>
                <w:sz w:val="20"/>
                <w:szCs w:val="20"/>
              </w:rPr>
              <w:t>efforts to inform government (including regional and local government) about anticipatory action and Early Action Protocols.</w:t>
            </w:r>
          </w:p>
        </w:tc>
        <w:tc>
          <w:tcPr>
            <w:tcW w:w="850" w:type="dxa"/>
            <w:shd w:val="clear" w:color="auto" w:fill="FFFFFF" w:themeFill="background1"/>
          </w:tcPr>
          <w:p w14:paraId="2A95F9E6" w14:textId="77777777" w:rsidR="00BA228F" w:rsidRDefault="00BA228F" w:rsidP="002B78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6A0AF64" w14:textId="77777777" w:rsidR="00BA228F" w:rsidRPr="006932BE" w:rsidRDefault="00BA228F" w:rsidP="002B7865">
            <w:pPr>
              <w:rPr>
                <w:sz w:val="20"/>
                <w:szCs w:val="20"/>
              </w:rPr>
            </w:pPr>
          </w:p>
        </w:tc>
      </w:tr>
      <w:tr w:rsidR="00DE17D8" w:rsidRPr="006932BE" w14:paraId="7B4BD52A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301B1B83" w14:textId="77777777" w:rsidR="00DE17D8" w:rsidRPr="006932BE" w:rsidRDefault="00DE17D8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1AFB3AB2" w14:textId="696BCAAC" w:rsidR="00DE17D8" w:rsidRDefault="00DE17D8" w:rsidP="002B786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5A46E1">
              <w:rPr>
                <w:rFonts w:cstheme="minorHAnsi"/>
                <w:sz w:val="20"/>
                <w:szCs w:val="20"/>
              </w:rPr>
              <w:t>The delegation works with the N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A46E1">
              <w:rPr>
                <w:rFonts w:cstheme="minorHAnsi"/>
                <w:sz w:val="20"/>
                <w:szCs w:val="20"/>
              </w:rPr>
              <w:t xml:space="preserve"> and government bureaus to monitor risks within the country, informed by IFRC </w:t>
            </w:r>
            <w:proofErr w:type="spellStart"/>
            <w:r w:rsidRPr="005A46E1">
              <w:rPr>
                <w:rFonts w:cstheme="minorHAnsi"/>
                <w:sz w:val="20"/>
                <w:szCs w:val="20"/>
              </w:rPr>
              <w:t>Riskwatch</w:t>
            </w:r>
            <w:proofErr w:type="spellEnd"/>
            <w:r w:rsidRPr="005A46E1">
              <w:rPr>
                <w:rFonts w:cstheme="minorHAnsi"/>
                <w:sz w:val="20"/>
                <w:szCs w:val="20"/>
              </w:rPr>
              <w:t xml:space="preserve">.  The delegation maintains a </w:t>
            </w:r>
            <w:r>
              <w:rPr>
                <w:rFonts w:cstheme="minorHAnsi"/>
                <w:sz w:val="20"/>
                <w:szCs w:val="20"/>
              </w:rPr>
              <w:t xml:space="preserve">seasonal disaster calendar, monitors triggers during </w:t>
            </w:r>
            <w:r w:rsidR="000C5BE3">
              <w:rPr>
                <w:rFonts w:cstheme="minorHAnsi"/>
                <w:sz w:val="20"/>
                <w:szCs w:val="20"/>
              </w:rPr>
              <w:t>high-risk</w:t>
            </w:r>
            <w:r>
              <w:rPr>
                <w:rFonts w:cstheme="minorHAnsi"/>
                <w:sz w:val="20"/>
                <w:szCs w:val="20"/>
              </w:rPr>
              <w:t xml:space="preserve"> periods, and keeps a </w:t>
            </w:r>
            <w:r w:rsidRPr="005A46E1">
              <w:rPr>
                <w:rFonts w:cstheme="minorHAnsi"/>
                <w:sz w:val="20"/>
                <w:szCs w:val="20"/>
              </w:rPr>
              <w:t>log of events and near-misses to inform continued planning.</w:t>
            </w:r>
            <w:r>
              <w:rPr>
                <w:rStyle w:val="EndnoteReference"/>
                <w:rFonts w:cstheme="minorHAnsi"/>
                <w:sz w:val="20"/>
                <w:szCs w:val="20"/>
              </w:rPr>
              <w:endnoteReference w:id="29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37447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33078ACB" w14:textId="735E7073" w:rsidR="00DE17D8" w:rsidRDefault="00DE17D8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43645634" w14:textId="77777777" w:rsidR="00DE17D8" w:rsidRPr="006932BE" w:rsidRDefault="00DE17D8" w:rsidP="002B7865">
            <w:pPr>
              <w:rPr>
                <w:sz w:val="20"/>
                <w:szCs w:val="20"/>
              </w:rPr>
            </w:pPr>
          </w:p>
        </w:tc>
      </w:tr>
      <w:tr w:rsidR="00DE17D8" w:rsidRPr="006932BE" w14:paraId="20C27733" w14:textId="77777777" w:rsidTr="00F61ACC">
        <w:trPr>
          <w:trHeight w:val="732"/>
        </w:trPr>
        <w:tc>
          <w:tcPr>
            <w:tcW w:w="3119" w:type="dxa"/>
            <w:vMerge/>
            <w:shd w:val="clear" w:color="auto" w:fill="FFFFFF" w:themeFill="background1"/>
          </w:tcPr>
          <w:p w14:paraId="21C53113" w14:textId="77777777" w:rsidR="00DE17D8" w:rsidRPr="006932BE" w:rsidRDefault="00DE17D8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24F866F1" w14:textId="5541A1FD" w:rsidR="00DE17D8" w:rsidRPr="00DE17D8" w:rsidRDefault="00DE17D8" w:rsidP="00DE17D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5A46E1">
              <w:rPr>
                <w:rFonts w:cstheme="minorHAnsi"/>
                <w:sz w:val="20"/>
                <w:szCs w:val="20"/>
              </w:rPr>
              <w:t>The communications team</w:t>
            </w:r>
            <w:r>
              <w:rPr>
                <w:rFonts w:cstheme="minorHAnsi"/>
                <w:sz w:val="20"/>
                <w:szCs w:val="20"/>
              </w:rPr>
              <w:t xml:space="preserve"> (at CD, CCD or RO level)</w:t>
            </w:r>
            <w:r w:rsidRPr="005A46E1">
              <w:rPr>
                <w:rFonts w:cstheme="minorHAnsi"/>
                <w:sz w:val="20"/>
                <w:szCs w:val="20"/>
              </w:rPr>
              <w:t xml:space="preserve"> in coordination with the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5A46E1">
              <w:rPr>
                <w:rFonts w:cstheme="minorHAnsi"/>
                <w:sz w:val="20"/>
                <w:szCs w:val="20"/>
              </w:rPr>
              <w:t xml:space="preserve">elegation </w:t>
            </w:r>
            <w:r w:rsidR="000C5BE3">
              <w:rPr>
                <w:rFonts w:cstheme="minorHAnsi"/>
                <w:sz w:val="20"/>
                <w:szCs w:val="20"/>
              </w:rPr>
              <w:t xml:space="preserve">and the local NS, </w:t>
            </w:r>
            <w:r w:rsidRPr="005A46E1">
              <w:rPr>
                <w:rFonts w:cstheme="minorHAnsi"/>
                <w:sz w:val="20"/>
                <w:szCs w:val="20"/>
              </w:rPr>
              <w:t>disseminates early warning information and key messages in social platforms.</w:t>
            </w:r>
          </w:p>
        </w:tc>
        <w:sdt>
          <w:sdtPr>
            <w:rPr>
              <w:sz w:val="20"/>
              <w:szCs w:val="20"/>
            </w:rPr>
            <w:id w:val="30366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6891F880" w14:textId="5943FA8F" w:rsidR="00DE17D8" w:rsidRDefault="00DE17D8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F7353F" w14:textId="77777777" w:rsidR="00DE17D8" w:rsidRPr="006932BE" w:rsidRDefault="00DE17D8" w:rsidP="002B7865">
            <w:pPr>
              <w:rPr>
                <w:sz w:val="20"/>
                <w:szCs w:val="20"/>
              </w:rPr>
            </w:pPr>
          </w:p>
        </w:tc>
      </w:tr>
      <w:tr w:rsidR="00DE17D8" w:rsidRPr="006932BE" w14:paraId="3E99EA75" w14:textId="77777777" w:rsidTr="00636696">
        <w:tc>
          <w:tcPr>
            <w:tcW w:w="3119" w:type="dxa"/>
            <w:vMerge/>
            <w:shd w:val="clear" w:color="auto" w:fill="FFFFFF" w:themeFill="background1"/>
          </w:tcPr>
          <w:p w14:paraId="6E73AA30" w14:textId="77777777" w:rsidR="00DE17D8" w:rsidRPr="005A46E1" w:rsidRDefault="00DE17D8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14:paraId="6654DD02" w14:textId="48F07DE7" w:rsidR="00DE17D8" w:rsidRDefault="00DE17D8" w:rsidP="002B786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5A46E1">
              <w:rPr>
                <w:sz w:val="20"/>
                <w:szCs w:val="20"/>
              </w:rPr>
              <w:t>The delegation is ready to support the N</w:t>
            </w:r>
            <w:r>
              <w:rPr>
                <w:sz w:val="20"/>
                <w:szCs w:val="20"/>
              </w:rPr>
              <w:t>S</w:t>
            </w:r>
            <w:r w:rsidRPr="005A46E1">
              <w:rPr>
                <w:sz w:val="20"/>
                <w:szCs w:val="20"/>
              </w:rPr>
              <w:t xml:space="preserve"> activate a simplified Early Action Protocol for the most likely one or two hazards.</w:t>
            </w:r>
            <w:r>
              <w:rPr>
                <w:rStyle w:val="EndnoteReference"/>
                <w:sz w:val="20"/>
                <w:szCs w:val="20"/>
              </w:rPr>
              <w:endnoteReference w:id="30"/>
            </w:r>
          </w:p>
        </w:tc>
        <w:sdt>
          <w:sdtPr>
            <w:rPr>
              <w:sz w:val="20"/>
              <w:szCs w:val="20"/>
            </w:rPr>
            <w:id w:val="107169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60AF9361" w14:textId="4A17B861" w:rsidR="00DE17D8" w:rsidRDefault="00DE17D8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</w:tcPr>
          <w:p w14:paraId="4AB5E188" w14:textId="77777777" w:rsidR="00DE17D8" w:rsidRPr="006932BE" w:rsidRDefault="00DE17D8" w:rsidP="002B7865">
            <w:pPr>
              <w:rPr>
                <w:sz w:val="20"/>
                <w:szCs w:val="20"/>
              </w:rPr>
            </w:pPr>
          </w:p>
        </w:tc>
      </w:tr>
      <w:tr w:rsidR="002B7865" w:rsidRPr="006932BE" w14:paraId="4EBC2CDC" w14:textId="77777777" w:rsidTr="00CE0594">
        <w:tc>
          <w:tcPr>
            <w:tcW w:w="3119" w:type="dxa"/>
            <w:vMerge w:val="restart"/>
            <w:shd w:val="clear" w:color="auto" w:fill="FFFFFF" w:themeFill="background1"/>
          </w:tcPr>
          <w:p w14:paraId="26373244" w14:textId="4F7CF318" w:rsidR="002B7865" w:rsidRPr="006932BE" w:rsidRDefault="002B7865" w:rsidP="002B7865">
            <w:pPr>
              <w:rPr>
                <w:b/>
                <w:bCs/>
                <w:sz w:val="20"/>
                <w:szCs w:val="20"/>
              </w:rPr>
            </w:pPr>
            <w:r w:rsidRPr="005A46E1">
              <w:rPr>
                <w:b/>
                <w:bCs/>
                <w:sz w:val="20"/>
                <w:szCs w:val="20"/>
              </w:rPr>
              <w:lastRenderedPageBreak/>
              <w:t>Government Facilitation</w:t>
            </w:r>
          </w:p>
        </w:tc>
        <w:tc>
          <w:tcPr>
            <w:tcW w:w="8789" w:type="dxa"/>
            <w:shd w:val="clear" w:color="auto" w:fill="FFFF00"/>
          </w:tcPr>
          <w:p w14:paraId="2E9017EC" w14:textId="7314848B" w:rsidR="002B7865" w:rsidRDefault="002B7865" w:rsidP="002B786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delegation has mapped any disaster law provisions existing in the country that might facilitate the NS and IFRC activities in emergency response.</w:t>
            </w:r>
          </w:p>
        </w:tc>
        <w:sdt>
          <w:sdtPr>
            <w:rPr>
              <w:sz w:val="20"/>
              <w:szCs w:val="20"/>
            </w:rPr>
            <w:id w:val="-44423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00"/>
              </w:tcPr>
              <w:p w14:paraId="68F27B91" w14:textId="751EEC54" w:rsidR="002B7865" w:rsidRDefault="002B7865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</w:tcPr>
          <w:p w14:paraId="397B6AC7" w14:textId="77777777" w:rsidR="002B7865" w:rsidRPr="006932BE" w:rsidRDefault="002B7865" w:rsidP="002B7865">
            <w:pPr>
              <w:rPr>
                <w:sz w:val="20"/>
                <w:szCs w:val="20"/>
              </w:rPr>
            </w:pPr>
          </w:p>
        </w:tc>
      </w:tr>
      <w:tr w:rsidR="002B7865" w:rsidRPr="006932BE" w14:paraId="411F38F4" w14:textId="77777777" w:rsidTr="00D42F1C">
        <w:tc>
          <w:tcPr>
            <w:tcW w:w="3119" w:type="dxa"/>
            <w:vMerge/>
            <w:shd w:val="clear" w:color="auto" w:fill="FFFFFF" w:themeFill="background1"/>
          </w:tcPr>
          <w:p w14:paraId="504A217D" w14:textId="77777777" w:rsidR="002B7865" w:rsidRPr="005A46E1" w:rsidRDefault="002B7865" w:rsidP="002B78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46F3AAAD" w14:textId="0C8CC01C" w:rsidR="002B7865" w:rsidRPr="005A46E1" w:rsidRDefault="002B7865" w:rsidP="002B786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A46E1">
              <w:rPr>
                <w:sz w:val="20"/>
                <w:szCs w:val="20"/>
              </w:rPr>
              <w:t>The delegation supports the N</w:t>
            </w:r>
            <w:r>
              <w:rPr>
                <w:sz w:val="20"/>
                <w:szCs w:val="20"/>
              </w:rPr>
              <w:t>S</w:t>
            </w:r>
            <w:r w:rsidRPr="005A46E1">
              <w:rPr>
                <w:sz w:val="20"/>
                <w:szCs w:val="20"/>
              </w:rPr>
              <w:t xml:space="preserve"> to put in place special legal measures with the government of the country</w:t>
            </w:r>
            <w:r>
              <w:rPr>
                <w:sz w:val="20"/>
                <w:szCs w:val="20"/>
              </w:rPr>
              <w:t xml:space="preserve"> </w:t>
            </w:r>
            <w:r w:rsidRPr="005A46E1">
              <w:rPr>
                <w:sz w:val="20"/>
                <w:szCs w:val="20"/>
              </w:rPr>
              <w:t>to facilitate the activities of the NS and IFRC in emergency response (either via letter, Pre-Disaster Agreement etc.)</w:t>
            </w:r>
            <w:r>
              <w:rPr>
                <w:rStyle w:val="EndnoteReference"/>
                <w:sz w:val="20"/>
                <w:szCs w:val="20"/>
              </w:rPr>
              <w:endnoteReference w:id="31"/>
            </w:r>
          </w:p>
        </w:tc>
        <w:sdt>
          <w:sdtPr>
            <w:rPr>
              <w:sz w:val="20"/>
              <w:szCs w:val="20"/>
            </w:rPr>
            <w:id w:val="32771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0CE788C4" w14:textId="239058A9" w:rsidR="002B7865" w:rsidRDefault="00243D1B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2976797B" w14:textId="77777777" w:rsidR="002B7865" w:rsidRPr="006932BE" w:rsidRDefault="002B7865" w:rsidP="002B7865">
            <w:pPr>
              <w:rPr>
                <w:sz w:val="20"/>
                <w:szCs w:val="20"/>
              </w:rPr>
            </w:pPr>
          </w:p>
        </w:tc>
      </w:tr>
      <w:tr w:rsidR="002B7865" w:rsidRPr="006932BE" w14:paraId="77265F09" w14:textId="77777777" w:rsidTr="00D42F1C">
        <w:tc>
          <w:tcPr>
            <w:tcW w:w="3119" w:type="dxa"/>
            <w:shd w:val="clear" w:color="auto" w:fill="FFFFFF" w:themeFill="background1"/>
          </w:tcPr>
          <w:p w14:paraId="7EE11D8B" w14:textId="55290385" w:rsidR="002B7865" w:rsidRPr="005A46E1" w:rsidRDefault="002B7865" w:rsidP="002B7865">
            <w:pPr>
              <w:rPr>
                <w:b/>
                <w:bCs/>
                <w:sz w:val="20"/>
                <w:szCs w:val="20"/>
              </w:rPr>
            </w:pPr>
            <w:r w:rsidRPr="005A46E1">
              <w:rPr>
                <w:b/>
                <w:sz w:val="20"/>
                <w:szCs w:val="20"/>
              </w:rPr>
              <w:t>Security</w:t>
            </w:r>
          </w:p>
        </w:tc>
        <w:tc>
          <w:tcPr>
            <w:tcW w:w="8789" w:type="dxa"/>
            <w:shd w:val="clear" w:color="auto" w:fill="FFFFFF" w:themeFill="background1"/>
          </w:tcPr>
          <w:p w14:paraId="1D374AD2" w14:textId="637608E4" w:rsidR="000D5467" w:rsidRPr="000D5467" w:rsidRDefault="002B7865" w:rsidP="000D546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A46E1">
              <w:rPr>
                <w:sz w:val="20"/>
                <w:szCs w:val="20"/>
              </w:rPr>
              <w:t xml:space="preserve">In </w:t>
            </w:r>
            <w:r w:rsidR="00243D1B">
              <w:rPr>
                <w:sz w:val="20"/>
                <w:szCs w:val="20"/>
              </w:rPr>
              <w:t>situations of internal strife/ conflict</w:t>
            </w:r>
            <w:r w:rsidRPr="005A46E1">
              <w:rPr>
                <w:sz w:val="20"/>
                <w:szCs w:val="20"/>
              </w:rPr>
              <w:t xml:space="preserve">, the delegation has agreed with other Movement components </w:t>
            </w:r>
            <w:r w:rsidR="00CB088C">
              <w:rPr>
                <w:sz w:val="20"/>
                <w:szCs w:val="20"/>
              </w:rPr>
              <w:t>on a Movement Security Framework</w:t>
            </w:r>
            <w:r w:rsidR="00C916D4">
              <w:rPr>
                <w:sz w:val="20"/>
                <w:szCs w:val="20"/>
              </w:rPr>
              <w:t>, and if needed, has signed an agreement with the ICR</w:t>
            </w:r>
            <w:r w:rsidR="00381363">
              <w:rPr>
                <w:sz w:val="20"/>
                <w:szCs w:val="20"/>
              </w:rPr>
              <w:t>C</w:t>
            </w:r>
            <w:r w:rsidRPr="005A46E1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endnoteReference w:id="32"/>
            </w:r>
          </w:p>
        </w:tc>
        <w:sdt>
          <w:sdtPr>
            <w:rPr>
              <w:sz w:val="20"/>
              <w:szCs w:val="20"/>
            </w:rPr>
            <w:id w:val="209251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6D3E0E5D" w14:textId="421C76D8" w:rsidR="002B7865" w:rsidRDefault="002B7865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00B9E8D8" w14:textId="77777777" w:rsidR="002B7865" w:rsidRPr="006932BE" w:rsidRDefault="002B7865" w:rsidP="002B7865">
            <w:pPr>
              <w:rPr>
                <w:sz w:val="20"/>
                <w:szCs w:val="20"/>
              </w:rPr>
            </w:pPr>
          </w:p>
        </w:tc>
      </w:tr>
      <w:tr w:rsidR="000D5467" w:rsidRPr="006932BE" w14:paraId="54DD8EE5" w14:textId="77777777" w:rsidTr="00D42F1C">
        <w:tc>
          <w:tcPr>
            <w:tcW w:w="3119" w:type="dxa"/>
            <w:shd w:val="clear" w:color="auto" w:fill="FFFFFF" w:themeFill="background1"/>
          </w:tcPr>
          <w:p w14:paraId="4A00D77D" w14:textId="77777777" w:rsidR="000D5467" w:rsidRPr="005A46E1" w:rsidRDefault="000D5467" w:rsidP="002B7865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1D57B6EC" w14:textId="52BFD2CA" w:rsidR="000D5467" w:rsidRPr="005A46E1" w:rsidRDefault="000D5467" w:rsidP="000D546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situations of internal strife/ conflict, the relevant delegation staff have carried out a CIM simulation (critical incident management).</w:t>
            </w:r>
          </w:p>
        </w:tc>
        <w:sdt>
          <w:sdtPr>
            <w:rPr>
              <w:sz w:val="20"/>
              <w:szCs w:val="20"/>
            </w:rPr>
            <w:id w:val="-41448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49112D69" w14:textId="709CBCCD" w:rsidR="000D5467" w:rsidRDefault="00243D1B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3307FF65" w14:textId="77777777" w:rsidR="000D5467" w:rsidRPr="006932BE" w:rsidRDefault="000D5467" w:rsidP="002B7865">
            <w:pPr>
              <w:rPr>
                <w:sz w:val="20"/>
                <w:szCs w:val="20"/>
              </w:rPr>
            </w:pPr>
          </w:p>
        </w:tc>
      </w:tr>
      <w:tr w:rsidR="002B7865" w:rsidRPr="006932BE" w14:paraId="38644642" w14:textId="77777777" w:rsidTr="00D42F1C">
        <w:tc>
          <w:tcPr>
            <w:tcW w:w="3119" w:type="dxa"/>
            <w:shd w:val="clear" w:color="auto" w:fill="FFFFFF" w:themeFill="background1"/>
          </w:tcPr>
          <w:p w14:paraId="049A4434" w14:textId="0CE7CD10" w:rsidR="002B7865" w:rsidRPr="00CE0594" w:rsidRDefault="002B7865" w:rsidP="002B7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Resource Mobilization</w:t>
            </w:r>
          </w:p>
        </w:tc>
        <w:tc>
          <w:tcPr>
            <w:tcW w:w="8789" w:type="dxa"/>
            <w:shd w:val="clear" w:color="auto" w:fill="FFFFFF" w:themeFill="background1"/>
          </w:tcPr>
          <w:p w14:paraId="08B23AD6" w14:textId="77777777" w:rsidR="002B7865" w:rsidRDefault="002B7865" w:rsidP="002B786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delegation has analyzed prior implementation rates for pledges (especially in countries under sanctions or in which there is no Legal Status Agreement.)</w:t>
            </w:r>
          </w:p>
          <w:p w14:paraId="2D373DC2" w14:textId="0469B6E6" w:rsidR="002B7865" w:rsidRPr="003F55AA" w:rsidRDefault="003F55AA" w:rsidP="003F55A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delegation has a </w:t>
            </w:r>
            <w:r w:rsidR="00FD6669">
              <w:rPr>
                <w:sz w:val="20"/>
                <w:szCs w:val="20"/>
              </w:rPr>
              <w:t>high-level</w:t>
            </w:r>
            <w:r>
              <w:rPr>
                <w:sz w:val="20"/>
                <w:szCs w:val="20"/>
              </w:rPr>
              <w:t xml:space="preserve"> mapping of regular donors to emergencies, to support possible future donation requests. </w:t>
            </w:r>
          </w:p>
        </w:tc>
        <w:sdt>
          <w:sdtPr>
            <w:rPr>
              <w:sz w:val="20"/>
              <w:szCs w:val="20"/>
            </w:rPr>
            <w:id w:val="-187854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3B48FE2A" w14:textId="34C0EA7E" w:rsidR="002B7865" w:rsidRDefault="00243D1B" w:rsidP="002B7865">
                <w:pPr>
                  <w:rPr>
                    <w:sz w:val="20"/>
                    <w:szCs w:val="20"/>
                  </w:rPr>
                </w:pPr>
                <w:r w:rsidRPr="00693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FF" w:themeFill="background1"/>
          </w:tcPr>
          <w:p w14:paraId="7A4B5E0E" w14:textId="77777777" w:rsidR="002B7865" w:rsidRPr="006932BE" w:rsidRDefault="002B7865" w:rsidP="002B7865">
            <w:pPr>
              <w:rPr>
                <w:sz w:val="20"/>
                <w:szCs w:val="20"/>
              </w:rPr>
            </w:pPr>
          </w:p>
        </w:tc>
      </w:tr>
    </w:tbl>
    <w:p w14:paraId="176C0035" w14:textId="77777777" w:rsidR="0009557D" w:rsidRDefault="0009557D"/>
    <w:sectPr w:rsidR="0009557D" w:rsidSect="00887B24">
      <w:footerReference w:type="even" r:id="rId24"/>
      <w:footerReference w:type="default" r:id="rId25"/>
      <w:footerReference w:type="first" r:id="rId2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F1CE9" w14:textId="77777777" w:rsidR="00D936E6" w:rsidRDefault="00D936E6" w:rsidP="00B309C7">
      <w:pPr>
        <w:spacing w:after="0" w:line="240" w:lineRule="auto"/>
      </w:pPr>
      <w:r>
        <w:separator/>
      </w:r>
    </w:p>
  </w:endnote>
  <w:endnote w:type="continuationSeparator" w:id="0">
    <w:p w14:paraId="71A382F2" w14:textId="77777777" w:rsidR="00D936E6" w:rsidRDefault="00D936E6" w:rsidP="00B309C7">
      <w:pPr>
        <w:spacing w:after="0" w:line="240" w:lineRule="auto"/>
      </w:pPr>
      <w:r>
        <w:continuationSeparator/>
      </w:r>
    </w:p>
  </w:endnote>
  <w:endnote w:type="continuationNotice" w:id="1">
    <w:p w14:paraId="38D7A8C0" w14:textId="77777777" w:rsidR="00D936E6" w:rsidRDefault="00D936E6">
      <w:pPr>
        <w:spacing w:after="0" w:line="240" w:lineRule="auto"/>
      </w:pPr>
    </w:p>
  </w:endnote>
  <w:endnote w:id="2">
    <w:p w14:paraId="1CE3C6D8" w14:textId="22E94944" w:rsidR="00A2691A" w:rsidRPr="004C1A0B" w:rsidRDefault="00A2691A">
      <w:pPr>
        <w:pStyle w:val="EndnoteText"/>
      </w:pPr>
      <w:r w:rsidRPr="004C1A0B">
        <w:rPr>
          <w:rStyle w:val="EndnoteReference"/>
        </w:rPr>
        <w:endnoteRef/>
      </w:r>
      <w:r w:rsidRPr="004C1A0B">
        <w:t xml:space="preserve"> </w:t>
      </w:r>
      <w:hyperlink r:id="rId1" w:history="1">
        <w:r w:rsidRPr="004C1A0B">
          <w:t xml:space="preserve">Disaster Preparedness </w:t>
        </w:r>
        <w:r w:rsidRPr="004C1A0B">
          <w:rPr>
            <w:rStyle w:val="Hyperlink"/>
          </w:rPr>
          <w:t>webpage</w:t>
        </w:r>
      </w:hyperlink>
      <w:r w:rsidRPr="004C1A0B">
        <w:t xml:space="preserve">; </w:t>
      </w:r>
      <w:hyperlink r:id="rId2" w:history="1">
        <w:r w:rsidRPr="004C1A0B">
          <w:t xml:space="preserve">Preparedness for Effective Response </w:t>
        </w:r>
        <w:r w:rsidRPr="004C1A0B">
          <w:rPr>
            <w:rStyle w:val="Hyperlink"/>
          </w:rPr>
          <w:t>Leaflet</w:t>
        </w:r>
      </w:hyperlink>
      <w:r w:rsidRPr="004C1A0B">
        <w:rPr>
          <w:rStyle w:val="Hyperlink"/>
        </w:rPr>
        <w:t>;</w:t>
      </w:r>
      <w:r w:rsidRPr="004C1A0B">
        <w:rPr>
          <w:rStyle w:val="Hyperlink"/>
          <w:u w:val="none"/>
        </w:rPr>
        <w:t xml:space="preserve"> </w:t>
      </w:r>
      <w:hyperlink r:id="rId3" w:history="1">
        <w:r w:rsidRPr="004C1A0B">
          <w:rPr>
            <w:rStyle w:val="Hyperlink"/>
          </w:rPr>
          <w:t>PER Dashboard</w:t>
        </w:r>
      </w:hyperlink>
      <w:r w:rsidRPr="004C1A0B">
        <w:t>. For more specific PER information related to your context, contact the PER team.</w:t>
      </w:r>
    </w:p>
  </w:endnote>
  <w:endnote w:id="3">
    <w:p w14:paraId="4426DF1A" w14:textId="65E44C80" w:rsidR="004C1A0B" w:rsidRPr="004C1A0B" w:rsidRDefault="004C1A0B" w:rsidP="004C1A0B">
      <w:pPr>
        <w:jc w:val="both"/>
        <w:rPr>
          <w:sz w:val="20"/>
          <w:szCs w:val="20"/>
        </w:rPr>
      </w:pPr>
      <w:r w:rsidRPr="004C1A0B">
        <w:rPr>
          <w:rStyle w:val="EndnoteReference"/>
          <w:sz w:val="20"/>
          <w:szCs w:val="20"/>
        </w:rPr>
        <w:endnoteRef/>
      </w:r>
      <w:r w:rsidRPr="004C1A0B">
        <w:rPr>
          <w:sz w:val="20"/>
          <w:szCs w:val="20"/>
        </w:rPr>
        <w:t xml:space="preserve"> Our Heads of Emergency Operations (</w:t>
      </w:r>
      <w:proofErr w:type="spellStart"/>
      <w:r w:rsidRPr="004C1A0B">
        <w:rPr>
          <w:sz w:val="20"/>
          <w:szCs w:val="20"/>
        </w:rPr>
        <w:t>Heops</w:t>
      </w:r>
      <w:proofErr w:type="spellEnd"/>
      <w:r w:rsidRPr="004C1A0B">
        <w:rPr>
          <w:sz w:val="20"/>
          <w:szCs w:val="20"/>
        </w:rPr>
        <w:t>) and regional Heads of DCC can support Heads of Delegation with operational readiness activities.</w:t>
      </w:r>
    </w:p>
  </w:endnote>
  <w:endnote w:id="4">
    <w:p w14:paraId="1C321E4B" w14:textId="6BA59AD9" w:rsidR="00F70599" w:rsidRPr="004C1A0B" w:rsidRDefault="00F70599">
      <w:pPr>
        <w:pStyle w:val="EndnoteText"/>
      </w:pPr>
      <w:r w:rsidRPr="004C1A0B">
        <w:rPr>
          <w:rStyle w:val="EndnoteReference"/>
        </w:rPr>
        <w:endnoteRef/>
      </w:r>
      <w:r w:rsidRPr="004C1A0B">
        <w:t xml:space="preserve"> </w:t>
      </w:r>
      <w:hyperlink r:id="rId4" w:history="1">
        <w:r w:rsidRPr="004C1A0B">
          <w:rPr>
            <w:rStyle w:val="Hyperlink"/>
          </w:rPr>
          <w:t>Office Opening and Closing Policy and Procedure</w:t>
        </w:r>
      </w:hyperlink>
      <w:r w:rsidRPr="004C1A0B">
        <w:rPr>
          <w:rStyle w:val="Hyperlink"/>
        </w:rPr>
        <w:t xml:space="preserve">; </w:t>
      </w:r>
      <w:hyperlink r:id="rId5" w:history="1">
        <w:r w:rsidRPr="004C1A0B">
          <w:rPr>
            <w:rStyle w:val="Hyperlink"/>
          </w:rPr>
          <w:t>Guidance Checklist-Opening an IFRC Office</w:t>
        </w:r>
      </w:hyperlink>
    </w:p>
  </w:endnote>
  <w:endnote w:id="5">
    <w:p w14:paraId="3A76720C" w14:textId="77777777" w:rsidR="00F70599" w:rsidRPr="004C1A0B" w:rsidRDefault="00F70599" w:rsidP="00F70599">
      <w:pPr>
        <w:spacing w:line="240" w:lineRule="auto"/>
        <w:rPr>
          <w:sz w:val="20"/>
          <w:szCs w:val="20"/>
        </w:rPr>
      </w:pPr>
      <w:r w:rsidRPr="004C1A0B">
        <w:rPr>
          <w:rStyle w:val="EndnoteReference"/>
          <w:sz w:val="20"/>
          <w:szCs w:val="20"/>
        </w:rPr>
        <w:endnoteRef/>
      </w:r>
      <w:r w:rsidRPr="004C1A0B">
        <w:rPr>
          <w:sz w:val="20"/>
          <w:szCs w:val="20"/>
        </w:rPr>
        <w:t xml:space="preserve"> Caring for Staff and Volunteers e-learning: </w:t>
      </w:r>
      <w:r w:rsidRPr="004C1A0B">
        <w:rPr>
          <w:sz w:val="20"/>
          <w:szCs w:val="20"/>
        </w:rPr>
        <w:fldChar w:fldCharType="begin"/>
      </w:r>
      <w:r w:rsidRPr="004C1A0B">
        <w:rPr>
          <w:sz w:val="20"/>
          <w:szCs w:val="20"/>
        </w:rPr>
        <w:instrText>HYPERLINK "https://ifrc.csod.com/ui/lms-learning-details/app/curriculum/614fed64-8b9b-4e7c-a8bb-da3b71552b7f</w:instrText>
      </w:r>
    </w:p>
    <w:p w14:paraId="6D0209AD" w14:textId="77777777" w:rsidR="00F70599" w:rsidRPr="004C1A0B" w:rsidRDefault="00F70599" w:rsidP="00F70599">
      <w:pPr>
        <w:spacing w:line="240" w:lineRule="auto"/>
        <w:rPr>
          <w:rStyle w:val="Hyperlink"/>
          <w:sz w:val="20"/>
          <w:szCs w:val="20"/>
        </w:rPr>
      </w:pPr>
      <w:r w:rsidRPr="004C1A0B">
        <w:rPr>
          <w:sz w:val="20"/>
          <w:szCs w:val="20"/>
        </w:rPr>
        <w:instrText>"</w:instrText>
      </w:r>
      <w:r w:rsidRPr="004C1A0B">
        <w:rPr>
          <w:sz w:val="20"/>
          <w:szCs w:val="20"/>
        </w:rPr>
      </w:r>
      <w:r w:rsidRPr="004C1A0B">
        <w:rPr>
          <w:sz w:val="20"/>
          <w:szCs w:val="20"/>
        </w:rPr>
        <w:fldChar w:fldCharType="separate"/>
      </w:r>
      <w:r w:rsidRPr="004C1A0B">
        <w:rPr>
          <w:rStyle w:val="Hyperlink"/>
          <w:sz w:val="20"/>
          <w:szCs w:val="20"/>
        </w:rPr>
        <w:t>https://ifrc.csod.com/ui/lms-learning-details/app/curriculum/614fed64-8b9b-4e7c-a8bb-da3b71552b7f</w:t>
      </w:r>
    </w:p>
    <w:p w14:paraId="5634DA9C" w14:textId="023A3174" w:rsidR="00F70599" w:rsidRPr="004C1A0B" w:rsidRDefault="00F70599" w:rsidP="00F70599">
      <w:pPr>
        <w:pStyle w:val="EndnoteText"/>
      </w:pPr>
      <w:r w:rsidRPr="004C1A0B">
        <w:fldChar w:fldCharType="end"/>
      </w:r>
    </w:p>
  </w:endnote>
  <w:endnote w:id="6">
    <w:p w14:paraId="6D31EB6F" w14:textId="6939B832" w:rsidR="00F70599" w:rsidRDefault="00F70599">
      <w:pPr>
        <w:pStyle w:val="EndnoteText"/>
      </w:pPr>
      <w:r w:rsidRPr="004C1A0B">
        <w:rPr>
          <w:rStyle w:val="EndnoteReference"/>
        </w:rPr>
        <w:endnoteRef/>
      </w:r>
      <w:r w:rsidRPr="004C1A0B">
        <w:t xml:space="preserve"> </w:t>
      </w:r>
      <w:hyperlink r:id="rId6" w:history="1">
        <w:r w:rsidRPr="004C1A0B">
          <w:rPr>
            <w:rStyle w:val="Hyperlink"/>
          </w:rPr>
          <w:t>MSR-The IFRC Guide to a Safer Mission</w:t>
        </w:r>
      </w:hyperlink>
      <w:r w:rsidRPr="004C1A0B">
        <w:t xml:space="preserve"> </w:t>
      </w:r>
      <w:hyperlink r:id="rId7" w:history="1">
        <w:r w:rsidRPr="004C1A0B">
          <w:rPr>
            <w:rStyle w:val="Hyperlink"/>
          </w:rPr>
          <w:t>Stay Safe security course</w:t>
        </w:r>
      </w:hyperlink>
      <w:r w:rsidRPr="004C1A0B">
        <w:t xml:space="preserve"> (levels 1-3.) Security Toolbox</w:t>
      </w:r>
      <w:r w:rsidRPr="00C14A77">
        <w:t xml:space="preserve"> for </w:t>
      </w:r>
      <w:proofErr w:type="spellStart"/>
      <w:r w:rsidRPr="00C14A77">
        <w:t>HoDs</w:t>
      </w:r>
      <w:proofErr w:type="spellEnd"/>
      <w:r w:rsidRPr="00C14A77">
        <w:t>; SIMPL- Security Information Management Platform.</w:t>
      </w:r>
    </w:p>
  </w:endnote>
  <w:endnote w:id="7">
    <w:p w14:paraId="5B0DE409" w14:textId="554CB31D" w:rsidR="00F70599" w:rsidRPr="00F70599" w:rsidRDefault="00F70599" w:rsidP="00F70599">
      <w:pPr>
        <w:spacing w:line="240" w:lineRule="auto"/>
        <w:rPr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hyperlink r:id="rId8" w:history="1">
        <w:r w:rsidRPr="00C14A77">
          <w:rPr>
            <w:rStyle w:val="Hyperlink"/>
            <w:sz w:val="20"/>
            <w:szCs w:val="20"/>
          </w:rPr>
          <w:t>Business Continuity Planning Guidelines</w:t>
        </w:r>
      </w:hyperlink>
      <w:r w:rsidRPr="00C14A77">
        <w:rPr>
          <w:sz w:val="20"/>
          <w:szCs w:val="20"/>
        </w:rPr>
        <w:t xml:space="preserve">; </w:t>
      </w:r>
      <w:hyperlink r:id="rId9" w:history="1">
        <w:r w:rsidRPr="00C14A77">
          <w:rPr>
            <w:rStyle w:val="Hyperlink"/>
            <w:sz w:val="20"/>
            <w:szCs w:val="20"/>
          </w:rPr>
          <w:t>Business Continuity Planning Checklists</w:t>
        </w:r>
      </w:hyperlink>
      <w:r w:rsidRPr="00C14A77">
        <w:rPr>
          <w:sz w:val="20"/>
          <w:szCs w:val="20"/>
        </w:rPr>
        <w:t xml:space="preserve"> (to be updated when new policy approved)</w:t>
      </w:r>
    </w:p>
  </w:endnote>
  <w:endnote w:id="8">
    <w:p w14:paraId="12D361CE" w14:textId="70537BD3" w:rsidR="00A11ECD" w:rsidRDefault="00A11EC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EA619A">
        <w:t xml:space="preserve">Add Rapid Response and ERU Procedures when finalized. </w:t>
      </w:r>
      <w:r w:rsidRPr="00A52110">
        <w:t>For other</w:t>
      </w:r>
      <w:r w:rsidR="00EA619A">
        <w:t xml:space="preserve"> relevant policies and procedures</w:t>
      </w:r>
      <w:r>
        <w:t xml:space="preserve"> see</w:t>
      </w:r>
      <w:r w:rsidRPr="00A52110">
        <w:t xml:space="preserve"> </w:t>
      </w:r>
      <w:hyperlink r:id="rId10" w:history="1">
        <w:r w:rsidRPr="00A52110">
          <w:rPr>
            <w:color w:val="0000FF"/>
            <w:u w:val="single"/>
          </w:rPr>
          <w:t xml:space="preserve">IFRC Management Compendium. </w:t>
        </w:r>
      </w:hyperlink>
    </w:p>
  </w:endnote>
  <w:endnote w:id="9">
    <w:p w14:paraId="60BE85E8" w14:textId="46209EDA" w:rsidR="00A11ECD" w:rsidRDefault="00A11ECD">
      <w:pPr>
        <w:pStyle w:val="EndnoteText"/>
      </w:pPr>
      <w:r>
        <w:rPr>
          <w:rStyle w:val="EndnoteReference"/>
        </w:rPr>
        <w:endnoteRef/>
      </w:r>
      <w:r>
        <w:t xml:space="preserve"> Access L</w:t>
      </w:r>
      <w:r w:rsidRPr="00A52110">
        <w:t>egal Training session on</w:t>
      </w:r>
      <w:r>
        <w:t xml:space="preserve"> </w:t>
      </w:r>
      <w:r w:rsidRPr="00A52110">
        <w:t>Legal Status Agreements.</w:t>
      </w:r>
    </w:p>
  </w:endnote>
  <w:endnote w:id="10">
    <w:p w14:paraId="5B0E7332" w14:textId="77777777" w:rsidR="00865AA4" w:rsidRDefault="00865AA4" w:rsidP="00865AA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A0F35">
        <w:t xml:space="preserve">Legal training: Data Protection; </w:t>
      </w:r>
      <w:hyperlink r:id="rId11">
        <w:r w:rsidRPr="00942001">
          <w:rPr>
            <w:rStyle w:val="Hyperlink"/>
            <w:rFonts w:ascii="Calibri" w:eastAsia="Calibri" w:hAnsi="Calibri" w:cs="Calibri"/>
          </w:rPr>
          <w:t>Data Protection Toolkit - Home (sharepoint.com)</w:t>
        </w:r>
      </w:hyperlink>
      <w:r>
        <w:rPr>
          <w:rStyle w:val="Hyperlink"/>
          <w:rFonts w:ascii="Calibri" w:eastAsia="Calibri" w:hAnsi="Calibri" w:cs="Calibri"/>
        </w:rPr>
        <w:t>.</w:t>
      </w:r>
      <w:r>
        <w:rPr>
          <w:rStyle w:val="Hyperlink"/>
          <w:rFonts w:ascii="Calibri" w:eastAsia="Calibri" w:hAnsi="Calibri" w:cs="Calibri"/>
          <w:color w:val="auto"/>
          <w:u w:val="none"/>
        </w:rPr>
        <w:t xml:space="preserve"> Local legal counsel can support with this.</w:t>
      </w:r>
    </w:p>
  </w:endnote>
  <w:endnote w:id="11">
    <w:p w14:paraId="4F0C68E8" w14:textId="31F0BDD0" w:rsidR="00D42F1C" w:rsidRDefault="00D42F1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2" w:history="1">
        <w:r w:rsidRPr="007B489C">
          <w:rPr>
            <w:rStyle w:val="Hyperlink"/>
          </w:rPr>
          <w:t xml:space="preserve">Banking Policy and Procedure - IFRC - </w:t>
        </w:r>
        <w:proofErr w:type="spellStart"/>
        <w:r w:rsidRPr="007B489C">
          <w:rPr>
            <w:rStyle w:val="Hyperlink"/>
          </w:rPr>
          <w:t>FedNet</w:t>
        </w:r>
        <w:proofErr w:type="spellEnd"/>
      </w:hyperlink>
    </w:p>
  </w:endnote>
  <w:endnote w:id="12">
    <w:p w14:paraId="529B0E02" w14:textId="7E10D75E" w:rsidR="00D42F1C" w:rsidRDefault="00D42F1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3" w:history="1">
        <w:r w:rsidRPr="007B489C">
          <w:rPr>
            <w:rStyle w:val="Hyperlink"/>
          </w:rPr>
          <w:t xml:space="preserve">Cash Management Policy and Procedure - IFRC - </w:t>
        </w:r>
        <w:proofErr w:type="spellStart"/>
        <w:r w:rsidRPr="007B489C">
          <w:rPr>
            <w:rStyle w:val="Hyperlink"/>
          </w:rPr>
          <w:t>FedNet</w:t>
        </w:r>
        <w:proofErr w:type="spellEnd"/>
      </w:hyperlink>
      <w:r w:rsidRPr="007B489C">
        <w:rPr>
          <w:rStyle w:val="Hyperlink"/>
        </w:rPr>
        <w:t xml:space="preserve">; </w:t>
      </w:r>
      <w:hyperlink r:id="rId14" w:history="1">
        <w:r w:rsidRPr="007B489C">
          <w:rPr>
            <w:rStyle w:val="Hyperlink"/>
          </w:rPr>
          <w:t xml:space="preserve">Cash Disbursement and Intra-account Transfers (via financial intermediaries) policy and procedure - IFRC - </w:t>
        </w:r>
        <w:proofErr w:type="spellStart"/>
        <w:r w:rsidRPr="007B489C">
          <w:rPr>
            <w:rStyle w:val="Hyperlink"/>
          </w:rPr>
          <w:t>FedNet</w:t>
        </w:r>
        <w:proofErr w:type="spellEnd"/>
      </w:hyperlink>
    </w:p>
  </w:endnote>
  <w:endnote w:id="13">
    <w:p w14:paraId="493EE167" w14:textId="05672F27" w:rsidR="00E04E4B" w:rsidRDefault="00E04E4B" w:rsidP="00E04E4B">
      <w:pPr>
        <w:pStyle w:val="EndnoteText"/>
      </w:pPr>
    </w:p>
  </w:endnote>
  <w:endnote w:id="14">
    <w:p w14:paraId="631830B6" w14:textId="6939D87F" w:rsidR="00347273" w:rsidRDefault="00347273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5" w:history="1">
        <w:r w:rsidRPr="00A35575">
          <w:rPr>
            <w:rStyle w:val="Hyperlink"/>
          </w:rPr>
          <w:t>Procurement Manual</w:t>
        </w:r>
      </w:hyperlink>
    </w:p>
  </w:endnote>
  <w:endnote w:id="15">
    <w:p w14:paraId="237B4EEA" w14:textId="4AD17226" w:rsidR="00347273" w:rsidRDefault="0034727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35575">
        <w:t xml:space="preserve"> </w:t>
      </w:r>
      <w:hyperlink r:id="rId16" w:history="1">
        <w:r w:rsidRPr="00A35575">
          <w:rPr>
            <w:rStyle w:val="Hyperlink"/>
          </w:rPr>
          <w:t>Fleet Manual</w:t>
        </w:r>
      </w:hyperlink>
    </w:p>
  </w:endnote>
  <w:endnote w:id="16">
    <w:p w14:paraId="5578D0BC" w14:textId="5C36A956" w:rsidR="00347273" w:rsidRDefault="00347273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7" w:history="1">
        <w:r w:rsidRPr="007C63B1">
          <w:rPr>
            <w:rStyle w:val="Hyperlink"/>
          </w:rPr>
          <w:t>Warehouse Manual</w:t>
        </w:r>
      </w:hyperlink>
    </w:p>
  </w:endnote>
  <w:endnote w:id="17">
    <w:p w14:paraId="1FD93D48" w14:textId="77777777" w:rsidR="00347273" w:rsidRDefault="00347273" w:rsidP="00535A3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42001">
        <w:t>Legal Training sessions on: Contracting and legal risks, Sanctions.</w:t>
      </w:r>
    </w:p>
  </w:endnote>
  <w:endnote w:id="18">
    <w:p w14:paraId="08EF1C08" w14:textId="552EA676" w:rsidR="00347273" w:rsidRDefault="00347273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8" w:history="1">
        <w:r w:rsidRPr="00A87118">
          <w:rPr>
            <w:rStyle w:val="Hyperlink"/>
          </w:rPr>
          <w:t>Strengthening the Auxiliary Role through Law and Policy</w:t>
        </w:r>
      </w:hyperlink>
      <w:r w:rsidR="00212807">
        <w:rPr>
          <w:rStyle w:val="Hyperlink"/>
        </w:rPr>
        <w:t xml:space="preserve">; </w:t>
      </w:r>
      <w:hyperlink r:id="rId19" w:history="1">
        <w:r w:rsidR="00212807" w:rsidRPr="00212807">
          <w:rPr>
            <w:rStyle w:val="Hyperlink"/>
          </w:rPr>
          <w:t>Model Pre-Disaster Agreement - 01 Dec 2020 FINAL (1).docx</w:t>
        </w:r>
      </w:hyperlink>
    </w:p>
  </w:endnote>
  <w:endnote w:id="19">
    <w:p w14:paraId="3B812231" w14:textId="5F412D12" w:rsidR="00347273" w:rsidRDefault="00347273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0" w:history="1">
        <w:r w:rsidRPr="007B1BCC">
          <w:t xml:space="preserve">Disaster Preparedness </w:t>
        </w:r>
        <w:r w:rsidRPr="007B1BCC">
          <w:rPr>
            <w:rStyle w:val="Hyperlink"/>
          </w:rPr>
          <w:t>webpage</w:t>
        </w:r>
      </w:hyperlink>
      <w:r w:rsidRPr="007B1BCC">
        <w:t xml:space="preserve">; </w:t>
      </w:r>
      <w:hyperlink r:id="rId21" w:history="1">
        <w:r w:rsidRPr="00062AA1">
          <w:t xml:space="preserve">Preparedness for Effective Response </w:t>
        </w:r>
        <w:r w:rsidRPr="00062AA1">
          <w:rPr>
            <w:rStyle w:val="Hyperlink"/>
          </w:rPr>
          <w:t>Leaflet</w:t>
        </w:r>
      </w:hyperlink>
      <w:r w:rsidRPr="00062AA1">
        <w:rPr>
          <w:rStyle w:val="Hyperlink"/>
        </w:rPr>
        <w:t>;</w:t>
      </w:r>
      <w:r w:rsidRPr="00062AA1">
        <w:rPr>
          <w:rStyle w:val="Hyperlink"/>
          <w:u w:val="none"/>
        </w:rPr>
        <w:t xml:space="preserve"> </w:t>
      </w:r>
      <w:hyperlink r:id="rId22" w:history="1">
        <w:r w:rsidRPr="00062AA1">
          <w:rPr>
            <w:rStyle w:val="Hyperlink"/>
          </w:rPr>
          <w:t>PER Dashboard</w:t>
        </w:r>
      </w:hyperlink>
      <w:r w:rsidR="004E6D61">
        <w:t xml:space="preserve">; </w:t>
      </w:r>
      <w:hyperlink r:id="rId23" w:history="1">
        <w:r w:rsidR="00111CEA" w:rsidRPr="00111CEA">
          <w:rPr>
            <w:rStyle w:val="Hyperlink"/>
          </w:rPr>
          <w:t>the global standards/benchmarks</w:t>
        </w:r>
      </w:hyperlink>
      <w:r w:rsidR="00111CEA">
        <w:t xml:space="preserve">. </w:t>
      </w:r>
      <w:r>
        <w:t>For more specific PER information related to your context, contact the PER team.</w:t>
      </w:r>
    </w:p>
  </w:endnote>
  <w:endnote w:id="20">
    <w:p w14:paraId="58B00D23" w14:textId="77777777" w:rsidR="00B3772E" w:rsidRDefault="00B3772E" w:rsidP="00B3772E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4" w:history="1">
        <w:r w:rsidRPr="006A0F35">
          <w:rPr>
            <w:rStyle w:val="Hyperlink"/>
          </w:rPr>
          <w:t>Contingency Planning Guide</w:t>
        </w:r>
      </w:hyperlink>
    </w:p>
  </w:endnote>
  <w:endnote w:id="21">
    <w:p w14:paraId="3E148A5D" w14:textId="16C1D9B8" w:rsidR="00347273" w:rsidRDefault="00347273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5" w:history="1">
        <w:r w:rsidRPr="00A87118">
          <w:rPr>
            <w:color w:val="0000FF"/>
            <w:u w:val="single"/>
          </w:rPr>
          <w:t>IFRC Secretariat Strategic Plan - An agenda for Renewal.pdf</w:t>
        </w:r>
      </w:hyperlink>
      <w:r w:rsidRPr="00A87118">
        <w:rPr>
          <w:color w:val="0000FF"/>
          <w:u w:val="single"/>
        </w:rPr>
        <w:t xml:space="preserve">; </w:t>
      </w:r>
      <w:hyperlink r:id="rId26" w:history="1">
        <w:r w:rsidRPr="00A87118">
          <w:rPr>
            <w:rStyle w:val="Hyperlink"/>
            <w:color w:val="0000FF"/>
          </w:rPr>
          <w:t>Seville Agreement 2.0 | IFRC</w:t>
        </w:r>
      </w:hyperlink>
      <w:r w:rsidRPr="00A87118">
        <w:rPr>
          <w:rStyle w:val="Hyperlink"/>
          <w:color w:val="0000FF"/>
        </w:rPr>
        <w:t xml:space="preserve">; </w:t>
      </w:r>
      <w:hyperlink r:id="rId27" w:history="1">
        <w:r w:rsidRPr="00A87118">
          <w:rPr>
            <w:rStyle w:val="Hyperlink"/>
          </w:rPr>
          <w:t>Movement Coordination Toolkit</w:t>
        </w:r>
      </w:hyperlink>
    </w:p>
  </w:endnote>
  <w:endnote w:id="22">
    <w:p w14:paraId="5290000F" w14:textId="601D5A4A" w:rsidR="00347273" w:rsidRDefault="00347273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8" w:history="1">
        <w:r w:rsidRPr="00853BE7">
          <w:rPr>
            <w:rStyle w:val="Hyperlink"/>
          </w:rPr>
          <w:t>Movement Coordination Agreement Template</w:t>
        </w:r>
      </w:hyperlink>
    </w:p>
  </w:endnote>
  <w:endnote w:id="23">
    <w:p w14:paraId="296DB84B" w14:textId="77777777" w:rsidR="002B7865" w:rsidRDefault="002B7865" w:rsidP="002B7865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9" w:history="1">
        <w:r w:rsidRPr="007A7FEA">
          <w:rPr>
            <w:rStyle w:val="Hyperlink"/>
            <w:color w:val="0000FF"/>
          </w:rPr>
          <w:t>Seville Agreement 2.0 | IFRC</w:t>
        </w:r>
      </w:hyperlink>
      <w:r w:rsidRPr="007A7FEA">
        <w:rPr>
          <w:rStyle w:val="Hyperlink"/>
          <w:color w:val="0000FF"/>
        </w:rPr>
        <w:t xml:space="preserve">; </w:t>
      </w:r>
      <w:hyperlink r:id="rId30" w:history="1">
        <w:r w:rsidRPr="007A7FEA">
          <w:rPr>
            <w:rStyle w:val="Hyperlink"/>
          </w:rPr>
          <w:t>Movement Coordination Toolkit</w:t>
        </w:r>
      </w:hyperlink>
    </w:p>
  </w:endnote>
  <w:endnote w:id="24">
    <w:p w14:paraId="7E3486CD" w14:textId="356E3313" w:rsidR="002B7865" w:rsidRPr="005A1D3E" w:rsidRDefault="002B7865" w:rsidP="001F6D4F">
      <w:pPr>
        <w:pStyle w:val="EndnoteText"/>
      </w:pPr>
      <w:r>
        <w:rPr>
          <w:rStyle w:val="EndnoteReference"/>
        </w:rPr>
        <w:endnoteRef/>
      </w:r>
      <w:r>
        <w:t xml:space="preserve"> E</w:t>
      </w:r>
      <w:r w:rsidRPr="00A35575">
        <w:t>-learning Courses:</w:t>
      </w:r>
      <w:r w:rsidR="00982CD9" w:rsidRPr="00982CD9">
        <w:t xml:space="preserve"> </w:t>
      </w:r>
      <w:hyperlink r:id="rId31" w:history="1">
        <w:r w:rsidR="00982CD9" w:rsidRPr="00EE6464">
          <w:rPr>
            <w:rStyle w:val="Hyperlink"/>
          </w:rPr>
          <w:t>Introduction to Cash Transfer Programming</w:t>
        </w:r>
      </w:hyperlink>
      <w:r w:rsidR="00982CD9">
        <w:rPr>
          <w:rStyle w:val="Hyperlink"/>
        </w:rPr>
        <w:t>;</w:t>
      </w:r>
      <w:r w:rsidRPr="00A35575">
        <w:t xml:space="preserve"> </w:t>
      </w:r>
      <w:hyperlink r:id="rId32" w:history="1">
        <w:r w:rsidR="00982CD9" w:rsidRPr="00184FA9">
          <w:rPr>
            <w:rStyle w:val="Hyperlink"/>
            <w:rFonts w:cstheme="minorHAnsi"/>
          </w:rPr>
          <w:t>Summary of Cash and Voucher Assistance - The Fundamentals (kayaconnect.org)</w:t>
        </w:r>
      </w:hyperlink>
      <w:r w:rsidR="00982CD9">
        <w:rPr>
          <w:rStyle w:val="Hyperlink"/>
          <w:rFonts w:cstheme="minorHAnsi"/>
        </w:rPr>
        <w:t xml:space="preserve">; </w:t>
      </w:r>
      <w:hyperlink r:id="rId33" w:history="1">
        <w:r w:rsidRPr="009B3610">
          <w:rPr>
            <w:rStyle w:val="Hyperlink"/>
          </w:rPr>
          <w:t>Cash in Emergencies</w:t>
        </w:r>
      </w:hyperlink>
      <w:r>
        <w:rPr>
          <w:rStyle w:val="Hyperlink"/>
        </w:rPr>
        <w:t>;</w:t>
      </w:r>
      <w:r w:rsidR="002519C2">
        <w:rPr>
          <w:rStyle w:val="Hyperlink"/>
          <w:rFonts w:cstheme="minorHAnsi"/>
        </w:rPr>
        <w:t xml:space="preserve"> </w:t>
      </w:r>
      <w:hyperlink r:id="rId34" w:history="1">
        <w:r w:rsidRPr="00EE6464">
          <w:rPr>
            <w:rStyle w:val="Hyperlink"/>
          </w:rPr>
          <w:t>Cash Assistance through Financial Service Providers</w:t>
        </w:r>
      </w:hyperlink>
      <w:r w:rsidRPr="00EE6464">
        <w:rPr>
          <w:rStyle w:val="Hyperlink"/>
        </w:rPr>
        <w:t>.</w:t>
      </w:r>
      <w:r w:rsidR="005A1D3E">
        <w:rPr>
          <w:rStyle w:val="Hyperlink"/>
          <w:color w:val="auto"/>
          <w:u w:val="none"/>
        </w:rPr>
        <w:t xml:space="preserve"> See also </w:t>
      </w:r>
      <w:hyperlink r:id="rId35" w:history="1">
        <w:r w:rsidR="005A1D3E" w:rsidRPr="00A35575">
          <w:rPr>
            <w:rStyle w:val="Hyperlink"/>
          </w:rPr>
          <w:t xml:space="preserve">IFRC Cash Based Programming </w:t>
        </w:r>
        <w:proofErr w:type="spellStart"/>
        <w:r w:rsidR="005A1D3E" w:rsidRPr="00A35575">
          <w:rPr>
            <w:rStyle w:val="Hyperlink"/>
          </w:rPr>
          <w:t>SoPs</w:t>
        </w:r>
        <w:proofErr w:type="spellEnd"/>
      </w:hyperlink>
      <w:r w:rsidR="005A1D3E" w:rsidRPr="00A35575">
        <w:t xml:space="preserve">; </w:t>
      </w:r>
      <w:hyperlink r:id="rId36" w:history="1">
        <w:r w:rsidR="005A1D3E" w:rsidRPr="00A35575">
          <w:rPr>
            <w:rStyle w:val="Hyperlink"/>
          </w:rPr>
          <w:t>Cash Based Programming Financial Procedures</w:t>
        </w:r>
      </w:hyperlink>
      <w:r w:rsidR="005A1D3E" w:rsidRPr="00A35575">
        <w:rPr>
          <w:rStyle w:val="Hyperlink"/>
        </w:rPr>
        <w:t>.</w:t>
      </w:r>
    </w:p>
  </w:endnote>
  <w:endnote w:id="25">
    <w:p w14:paraId="24822E53" w14:textId="50E39191" w:rsidR="00D65ECF" w:rsidRDefault="00D65EC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65ECF">
        <w:t>Output of this process will be the NS Self-Assessment Workshop Report (also called “Visioning Workshop”)</w:t>
      </w:r>
      <w:r>
        <w:t>.</w:t>
      </w:r>
    </w:p>
  </w:endnote>
  <w:endnote w:id="26">
    <w:p w14:paraId="72389202" w14:textId="2C4B0FBA" w:rsidR="007853FF" w:rsidRDefault="007853FF" w:rsidP="007853F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E6464">
        <w:t xml:space="preserve">e-learning: </w:t>
      </w:r>
      <w:hyperlink r:id="rId37" w:history="1">
        <w:r w:rsidRPr="00EE6464">
          <w:rPr>
            <w:rStyle w:val="Hyperlink"/>
          </w:rPr>
          <w:t xml:space="preserve">CALP Online: Core CVA Skills for </w:t>
        </w:r>
        <w:proofErr w:type="spellStart"/>
        <w:r w:rsidRPr="00EE6464">
          <w:rPr>
            <w:rStyle w:val="Hyperlink"/>
          </w:rPr>
          <w:t>Programme</w:t>
        </w:r>
        <w:proofErr w:type="spellEnd"/>
        <w:r w:rsidRPr="00EE6464">
          <w:rPr>
            <w:rStyle w:val="Hyperlink"/>
          </w:rPr>
          <w:t xml:space="preserve"> Staff</w:t>
        </w:r>
      </w:hyperlink>
      <w:r w:rsidRPr="00EE6464">
        <w:rPr>
          <w:rStyle w:val="Hyperlink"/>
        </w:rPr>
        <w:t xml:space="preserve">; </w:t>
      </w:r>
      <w:hyperlink r:id="rId38" w:history="1">
        <w:r w:rsidRPr="00EE6464">
          <w:rPr>
            <w:rStyle w:val="Hyperlink"/>
          </w:rPr>
          <w:t>Core CVA Skills for Supply Chain, Finance and ICT Staff - E-learning Modules</w:t>
        </w:r>
      </w:hyperlink>
      <w:r w:rsidR="008B3F6D">
        <w:rPr>
          <w:rStyle w:val="Hyperlink"/>
        </w:rPr>
        <w:t xml:space="preserve">. </w:t>
      </w:r>
      <w:r w:rsidR="008B3F6D" w:rsidRPr="001E0B5D">
        <w:t xml:space="preserve">Resource to guide the process </w:t>
      </w:r>
      <w:hyperlink r:id="rId39" w:history="1">
        <w:r w:rsidR="008B3F6D" w:rsidRPr="001E0B5D">
          <w:rPr>
            <w:rStyle w:val="Hyperlink"/>
          </w:rPr>
          <w:t>IFRC-CTP-engaging-National-Society-leadership_EN.pdf (cash-hub.org)</w:t>
        </w:r>
      </w:hyperlink>
      <w:r w:rsidR="008B3F6D">
        <w:rPr>
          <w:rStyle w:val="Hyperlink"/>
        </w:rPr>
        <w:t>.</w:t>
      </w:r>
      <w:r w:rsidR="00036AF6" w:rsidRPr="00036AF6">
        <w:t xml:space="preserve"> </w:t>
      </w:r>
      <w:r w:rsidR="00036AF6" w:rsidRPr="00F4343F">
        <w:t xml:space="preserve">To assess operational competences for CVA, the delegation may use CALP Operational Competences Assessment through the following link </w:t>
      </w:r>
      <w:hyperlink r:id="rId40" w:history="1">
        <w:r w:rsidR="00036AF6" w:rsidRPr="00F4343F">
          <w:rPr>
            <w:rStyle w:val="Hyperlink"/>
          </w:rPr>
          <w:t>Summary of Assess yourself: CALP Operational Competences for CVA (kayaconnect.org)</w:t>
        </w:r>
      </w:hyperlink>
      <w:r w:rsidR="00036AF6">
        <w:rPr>
          <w:rStyle w:val="Hyperlink"/>
        </w:rPr>
        <w:t>.</w:t>
      </w:r>
    </w:p>
  </w:endnote>
  <w:endnote w:id="27">
    <w:p w14:paraId="22E3A897" w14:textId="3DFBFB9B" w:rsidR="00AF0F06" w:rsidRDefault="00AF0F0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C6D32">
        <w:t>Resources to guide the process:</w:t>
      </w:r>
      <w:r>
        <w:t xml:space="preserve"> </w:t>
      </w:r>
      <w:hyperlink r:id="rId41" w:history="1">
        <w:r w:rsidRPr="004C6D32">
          <w:rPr>
            <w:rStyle w:val="Hyperlink"/>
          </w:rPr>
          <w:t>Cash Preparedness​ - Cash Hub (cash-hub.org)</w:t>
        </w:r>
      </w:hyperlink>
      <w:r>
        <w:rPr>
          <w:rStyle w:val="Hyperlink"/>
        </w:rPr>
        <w:t xml:space="preserve">; </w:t>
      </w:r>
      <w:r w:rsidRPr="00AF0F06">
        <w:rPr>
          <w:rFonts w:cstheme="minorHAnsi"/>
        </w:rPr>
        <w:t xml:space="preserve">Cash in Emergencies Toolkit – Module 1 (Preparedness) </w:t>
      </w:r>
      <w:hyperlink r:id="rId42" w:history="1">
        <w:r w:rsidRPr="00AF0F06">
          <w:rPr>
            <w:rStyle w:val="Hyperlink"/>
          </w:rPr>
          <w:t>Cash in Emergencies Toolkit - Cash Hub (cash-hub.org)</w:t>
        </w:r>
      </w:hyperlink>
      <w:r w:rsidR="00EE5B85">
        <w:rPr>
          <w:rStyle w:val="Hyperlink"/>
        </w:rPr>
        <w:t>.</w:t>
      </w:r>
    </w:p>
  </w:endnote>
  <w:endnote w:id="28">
    <w:p w14:paraId="288E61BD" w14:textId="77777777" w:rsidR="00DE17D8" w:rsidRDefault="00DE17D8" w:rsidP="00D80073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43" w:history="1">
        <w:r w:rsidRPr="007A7FEA">
          <w:rPr>
            <w:rStyle w:val="Hyperlink"/>
          </w:rPr>
          <w:t>Forecast-based Action Fund</w:t>
        </w:r>
      </w:hyperlink>
      <w:r w:rsidRPr="007A7FEA">
        <w:rPr>
          <w:rStyle w:val="Hyperlink"/>
        </w:rPr>
        <w:t>;</w:t>
      </w:r>
      <w:r w:rsidRPr="007A7FEA">
        <w:t xml:space="preserve"> </w:t>
      </w:r>
      <w:hyperlink r:id="rId44" w:history="1">
        <w:r w:rsidRPr="007A7FEA">
          <w:rPr>
            <w:rStyle w:val="Hyperlink"/>
          </w:rPr>
          <w:t xml:space="preserve">Overview </w:t>
        </w:r>
        <w:proofErr w:type="spellStart"/>
        <w:r w:rsidRPr="007A7FEA">
          <w:rPr>
            <w:rStyle w:val="Hyperlink"/>
          </w:rPr>
          <w:t>FbA</w:t>
        </w:r>
        <w:proofErr w:type="spellEnd"/>
        <w:r w:rsidRPr="007A7FEA">
          <w:rPr>
            <w:rStyle w:val="Hyperlink"/>
          </w:rPr>
          <w:t xml:space="preserve"> by the DREF for IFRC Leadership</w:t>
        </w:r>
      </w:hyperlink>
      <w:r w:rsidRPr="007A7FEA">
        <w:rPr>
          <w:rStyle w:val="Hyperlink"/>
        </w:rPr>
        <w:t xml:space="preserve">; </w:t>
      </w:r>
      <w:hyperlink r:id="rId45" w:history="1">
        <w:r w:rsidRPr="007A7FEA">
          <w:rPr>
            <w:rStyle w:val="Hyperlink"/>
          </w:rPr>
          <w:t xml:space="preserve">Practical Information for National Societies on </w:t>
        </w:r>
        <w:proofErr w:type="spellStart"/>
        <w:r w:rsidRPr="007A7FEA">
          <w:rPr>
            <w:rStyle w:val="Hyperlink"/>
          </w:rPr>
          <w:t>Fbf</w:t>
        </w:r>
        <w:proofErr w:type="spellEnd"/>
        <w:r w:rsidRPr="007A7FEA">
          <w:rPr>
            <w:rStyle w:val="Hyperlink"/>
          </w:rPr>
          <w:t xml:space="preserve"> and DREF</w:t>
        </w:r>
      </w:hyperlink>
    </w:p>
  </w:endnote>
  <w:endnote w:id="29">
    <w:p w14:paraId="291AFB92" w14:textId="12DB2AF9" w:rsidR="00DE17D8" w:rsidRDefault="00DE17D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7236F">
        <w:t xml:space="preserve">Risk watch pages from GO Platform. </w:t>
      </w:r>
      <w:hyperlink r:id="rId46" w:anchor="risk-watch" w:history="1">
        <w:r w:rsidRPr="0007236F">
          <w:rPr>
            <w:rStyle w:val="Hyperlink"/>
          </w:rPr>
          <w:t>Asia Pacific</w:t>
        </w:r>
      </w:hyperlink>
      <w:r w:rsidRPr="006E24F2">
        <w:rPr>
          <w:rStyle w:val="Hyperlink"/>
        </w:rPr>
        <w:t xml:space="preserve">; </w:t>
      </w:r>
      <w:hyperlink r:id="rId47" w:anchor="risk-watch" w:history="1">
        <w:r w:rsidRPr="006E24F2">
          <w:rPr>
            <w:rStyle w:val="Hyperlink"/>
          </w:rPr>
          <w:t>Africa</w:t>
        </w:r>
      </w:hyperlink>
      <w:r w:rsidRPr="006E24F2">
        <w:rPr>
          <w:rStyle w:val="Hyperlink"/>
        </w:rPr>
        <w:t xml:space="preserve">; </w:t>
      </w:r>
      <w:hyperlink r:id="rId48" w:anchor="risk-watch" w:history="1">
        <w:r w:rsidRPr="006E24F2">
          <w:rPr>
            <w:rStyle w:val="Hyperlink"/>
          </w:rPr>
          <w:t>Americas</w:t>
        </w:r>
      </w:hyperlink>
      <w:r w:rsidRPr="006E24F2">
        <w:rPr>
          <w:rStyle w:val="Hyperlink"/>
        </w:rPr>
        <w:t xml:space="preserve">; </w:t>
      </w:r>
      <w:hyperlink r:id="rId49" w:anchor="risk-watch" w:history="1">
        <w:r w:rsidRPr="006E24F2">
          <w:rPr>
            <w:rStyle w:val="Hyperlink"/>
          </w:rPr>
          <w:t>MENA</w:t>
        </w:r>
      </w:hyperlink>
      <w:r w:rsidRPr="006E24F2">
        <w:rPr>
          <w:rStyle w:val="Hyperlink"/>
        </w:rPr>
        <w:t xml:space="preserve">; </w:t>
      </w:r>
      <w:hyperlink r:id="rId50" w:anchor="risk-watch" w:history="1">
        <w:r w:rsidRPr="006E24F2">
          <w:rPr>
            <w:rStyle w:val="Hyperlink"/>
          </w:rPr>
          <w:t>Europe</w:t>
        </w:r>
      </w:hyperlink>
      <w:r w:rsidRPr="006E24F2">
        <w:rPr>
          <w:rStyle w:val="Hyperlink"/>
        </w:rPr>
        <w:t>.</w:t>
      </w:r>
    </w:p>
  </w:endnote>
  <w:endnote w:id="30">
    <w:p w14:paraId="4D1AEED8" w14:textId="77777777" w:rsidR="00DE17D8" w:rsidRPr="000270B2" w:rsidRDefault="00DE17D8" w:rsidP="00664E34">
      <w:pPr>
        <w:rPr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hyperlink r:id="rId51" w:history="1">
        <w:r w:rsidRPr="00534E2E">
          <w:rPr>
            <w:rStyle w:val="Hyperlink"/>
            <w:sz w:val="20"/>
            <w:szCs w:val="20"/>
          </w:rPr>
          <w:t>Forecast-based Action Fund</w:t>
        </w:r>
      </w:hyperlink>
      <w:r w:rsidRPr="00534E2E">
        <w:rPr>
          <w:sz w:val="20"/>
          <w:szCs w:val="20"/>
        </w:rPr>
        <w:t xml:space="preserve">; </w:t>
      </w:r>
      <w:hyperlink r:id="rId52" w:history="1">
        <w:r w:rsidRPr="00534E2E">
          <w:rPr>
            <w:rStyle w:val="Hyperlink"/>
            <w:sz w:val="20"/>
            <w:szCs w:val="20"/>
          </w:rPr>
          <w:t xml:space="preserve">Overview </w:t>
        </w:r>
        <w:proofErr w:type="spellStart"/>
        <w:r w:rsidRPr="00534E2E">
          <w:rPr>
            <w:rStyle w:val="Hyperlink"/>
            <w:sz w:val="20"/>
            <w:szCs w:val="20"/>
          </w:rPr>
          <w:t>FbA</w:t>
        </w:r>
        <w:proofErr w:type="spellEnd"/>
        <w:r w:rsidRPr="00534E2E">
          <w:rPr>
            <w:rStyle w:val="Hyperlink"/>
            <w:sz w:val="20"/>
            <w:szCs w:val="20"/>
          </w:rPr>
          <w:t xml:space="preserve"> by the DREF for IFRC Leadership</w:t>
        </w:r>
      </w:hyperlink>
      <w:r w:rsidRPr="00534E2E">
        <w:rPr>
          <w:sz w:val="20"/>
          <w:szCs w:val="20"/>
        </w:rPr>
        <w:t xml:space="preserve">; </w:t>
      </w:r>
      <w:hyperlink r:id="rId53" w:history="1">
        <w:r w:rsidRPr="00534E2E">
          <w:rPr>
            <w:rStyle w:val="Hyperlink"/>
            <w:sz w:val="20"/>
            <w:szCs w:val="20"/>
          </w:rPr>
          <w:t xml:space="preserve">Practical Information for National Societies on </w:t>
        </w:r>
        <w:proofErr w:type="spellStart"/>
        <w:r w:rsidRPr="00534E2E">
          <w:rPr>
            <w:rStyle w:val="Hyperlink"/>
            <w:sz w:val="20"/>
            <w:szCs w:val="20"/>
          </w:rPr>
          <w:t>Fbf</w:t>
        </w:r>
        <w:proofErr w:type="spellEnd"/>
        <w:r w:rsidRPr="00534E2E">
          <w:rPr>
            <w:rStyle w:val="Hyperlink"/>
            <w:sz w:val="20"/>
            <w:szCs w:val="20"/>
          </w:rPr>
          <w:t xml:space="preserve"> and DREF</w:t>
        </w:r>
      </w:hyperlink>
    </w:p>
  </w:endnote>
  <w:endnote w:id="31">
    <w:p w14:paraId="27863F8F" w14:textId="77777777" w:rsidR="002B7865" w:rsidRDefault="002B7865" w:rsidP="00CE0594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54" w:history="1">
        <w:r w:rsidRPr="00853BE7">
          <w:rPr>
            <w:rStyle w:val="Hyperlink"/>
          </w:rPr>
          <w:t>Strengthening the Auxiliary Role through Law and Policy</w:t>
        </w:r>
      </w:hyperlink>
      <w:r w:rsidRPr="00853BE7">
        <w:t xml:space="preserve">; </w:t>
      </w:r>
      <w:hyperlink r:id="rId55" w:history="1">
        <w:r w:rsidRPr="00853BE7">
          <w:rPr>
            <w:rStyle w:val="Hyperlink"/>
          </w:rPr>
          <w:t>Introduction to IDRL, Rules and Principles</w:t>
        </w:r>
      </w:hyperlink>
      <w:r w:rsidRPr="00853BE7">
        <w:t xml:space="preserve">; </w:t>
      </w:r>
      <w:hyperlink r:id="rId56" w:history="1">
        <w:r w:rsidRPr="00853BE7">
          <w:rPr>
            <w:rStyle w:val="Hyperlink"/>
          </w:rPr>
          <w:t>Key Messages for NS in support to Operations</w:t>
        </w:r>
      </w:hyperlink>
      <w:r w:rsidRPr="00853BE7">
        <w:t xml:space="preserve">; </w:t>
      </w:r>
      <w:hyperlink r:id="rId57" w:history="1">
        <w:r w:rsidRPr="00853BE7">
          <w:rPr>
            <w:rStyle w:val="Hyperlink"/>
          </w:rPr>
          <w:t>Letter Template NS Request to Govt</w:t>
        </w:r>
      </w:hyperlink>
      <w:r w:rsidRPr="00853BE7">
        <w:t xml:space="preserve">; </w:t>
      </w:r>
      <w:hyperlink r:id="rId58" w:history="1">
        <w:r w:rsidRPr="00853BE7">
          <w:rPr>
            <w:rStyle w:val="Hyperlink"/>
          </w:rPr>
          <w:t>Model Pre-Disaster Agreement</w:t>
        </w:r>
      </w:hyperlink>
    </w:p>
  </w:endnote>
  <w:endnote w:id="32">
    <w:p w14:paraId="1CBC3A9A" w14:textId="673471E4" w:rsidR="002B7865" w:rsidRDefault="002B7865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59">
        <w:r w:rsidRPr="00534E2E">
          <w:rPr>
            <w:rStyle w:val="Hyperlink"/>
            <w:rFonts w:ascii="Calibri" w:eastAsia="Calibri" w:hAnsi="Calibri" w:cs="Calibri"/>
          </w:rPr>
          <w:t>IFRC - Full Security Management Clauses- Annex B Final.pdf</w:t>
        </w:r>
      </w:hyperlink>
      <w:r w:rsidRPr="00534E2E">
        <w:rPr>
          <w:rFonts w:ascii="Calibri" w:eastAsia="Calibri" w:hAnsi="Calibri" w:cs="Calibri"/>
        </w:rPr>
        <w:t xml:space="preserve"> (where IFRC provides security management services.)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3C67E" w14:textId="3ED5A1A0" w:rsidR="00E3136E" w:rsidRDefault="008561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4A64D72" wp14:editId="58FE44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562444938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C08F2" w14:textId="31400EE5" w:rsidR="00856106" w:rsidRPr="00856106" w:rsidRDefault="00856106" w:rsidP="008561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61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64D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Restricted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28C08F2" w14:textId="31400EE5" w:rsidR="00856106" w:rsidRPr="00856106" w:rsidRDefault="00856106" w:rsidP="008561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61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2B9B" w14:textId="4BEEDF7C" w:rsidR="00E3136E" w:rsidRDefault="008561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6007ACE" wp14:editId="126373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13343345" name="Text Box 7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AC818" w14:textId="77BB1529" w:rsidR="00856106" w:rsidRPr="00856106" w:rsidRDefault="00856106" w:rsidP="008561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61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07A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Restricted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A5AC818" w14:textId="77BB1529" w:rsidR="00856106" w:rsidRPr="00856106" w:rsidRDefault="00856106" w:rsidP="008561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61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0100F" w14:textId="5CF6D8F4" w:rsidR="00E3136E" w:rsidRDefault="008561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EE022E" wp14:editId="46237C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044475869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E2632" w14:textId="2A3C45C6" w:rsidR="00856106" w:rsidRPr="00856106" w:rsidRDefault="00856106" w:rsidP="008561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61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02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EE2632" w14:textId="2A3C45C6" w:rsidR="00856106" w:rsidRPr="00856106" w:rsidRDefault="00856106" w:rsidP="008561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61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58BB9" w14:textId="77777777" w:rsidR="00D936E6" w:rsidRDefault="00D936E6" w:rsidP="00B309C7">
      <w:pPr>
        <w:spacing w:after="0" w:line="240" w:lineRule="auto"/>
      </w:pPr>
      <w:r>
        <w:separator/>
      </w:r>
    </w:p>
  </w:footnote>
  <w:footnote w:type="continuationSeparator" w:id="0">
    <w:p w14:paraId="656BEF03" w14:textId="77777777" w:rsidR="00D936E6" w:rsidRDefault="00D936E6" w:rsidP="00B309C7">
      <w:pPr>
        <w:spacing w:after="0" w:line="240" w:lineRule="auto"/>
      </w:pPr>
      <w:r>
        <w:continuationSeparator/>
      </w:r>
    </w:p>
  </w:footnote>
  <w:footnote w:type="continuationNotice" w:id="1">
    <w:p w14:paraId="0F080AE3" w14:textId="77777777" w:rsidR="00D936E6" w:rsidRDefault="00D936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6A06"/>
    <w:multiLevelType w:val="hybridMultilevel"/>
    <w:tmpl w:val="11485FC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B23"/>
    <w:multiLevelType w:val="hybridMultilevel"/>
    <w:tmpl w:val="48DC834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75BF"/>
    <w:multiLevelType w:val="hybridMultilevel"/>
    <w:tmpl w:val="32043A7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11D71"/>
    <w:multiLevelType w:val="hybridMultilevel"/>
    <w:tmpl w:val="9D2E573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10AEA"/>
    <w:multiLevelType w:val="hybridMultilevel"/>
    <w:tmpl w:val="8FC61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8CE"/>
    <w:multiLevelType w:val="hybridMultilevel"/>
    <w:tmpl w:val="7FC87B1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2E76"/>
    <w:multiLevelType w:val="hybridMultilevel"/>
    <w:tmpl w:val="A086E1A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5258"/>
    <w:multiLevelType w:val="hybridMultilevel"/>
    <w:tmpl w:val="F28A4C5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C48D3"/>
    <w:multiLevelType w:val="hybridMultilevel"/>
    <w:tmpl w:val="A6A4819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00229"/>
    <w:multiLevelType w:val="hybridMultilevel"/>
    <w:tmpl w:val="FC74AEB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80DDB"/>
    <w:multiLevelType w:val="hybridMultilevel"/>
    <w:tmpl w:val="414A0C94"/>
    <w:lvl w:ilvl="0" w:tplc="411EA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67C82"/>
    <w:multiLevelType w:val="hybridMultilevel"/>
    <w:tmpl w:val="C674EF4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42820"/>
    <w:multiLevelType w:val="hybridMultilevel"/>
    <w:tmpl w:val="FC1690C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54FA4"/>
    <w:multiLevelType w:val="hybridMultilevel"/>
    <w:tmpl w:val="4D505F10"/>
    <w:lvl w:ilvl="0" w:tplc="93860A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01750"/>
    <w:multiLevelType w:val="hybridMultilevel"/>
    <w:tmpl w:val="BD70F32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D6FB2"/>
    <w:multiLevelType w:val="hybridMultilevel"/>
    <w:tmpl w:val="B944E07C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297257"/>
    <w:multiLevelType w:val="hybridMultilevel"/>
    <w:tmpl w:val="6E58C0FE"/>
    <w:lvl w:ilvl="0" w:tplc="2102CA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D507A1"/>
    <w:multiLevelType w:val="hybridMultilevel"/>
    <w:tmpl w:val="8E5011E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337C"/>
    <w:multiLevelType w:val="hybridMultilevel"/>
    <w:tmpl w:val="8A06A88A"/>
    <w:lvl w:ilvl="0" w:tplc="2102C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B1DC9"/>
    <w:multiLevelType w:val="hybridMultilevel"/>
    <w:tmpl w:val="8E2229F2"/>
    <w:lvl w:ilvl="0" w:tplc="0CAA18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8C3CCC"/>
    <w:multiLevelType w:val="hybridMultilevel"/>
    <w:tmpl w:val="E6665C44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0F30267"/>
    <w:multiLevelType w:val="hybridMultilevel"/>
    <w:tmpl w:val="D6C0FF36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6070BD"/>
    <w:multiLevelType w:val="hybridMultilevel"/>
    <w:tmpl w:val="78D62A4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B1D19"/>
    <w:multiLevelType w:val="hybridMultilevel"/>
    <w:tmpl w:val="D5F0D9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A2631"/>
    <w:multiLevelType w:val="hybridMultilevel"/>
    <w:tmpl w:val="21E226E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67D66"/>
    <w:multiLevelType w:val="hybridMultilevel"/>
    <w:tmpl w:val="B5029FA4"/>
    <w:lvl w:ilvl="0" w:tplc="CDA83A66">
      <w:start w:val="1"/>
      <w:numFmt w:val="decimal"/>
      <w:lvlText w:val="(%1)"/>
      <w:lvlJc w:val="left"/>
      <w:pPr>
        <w:ind w:left="1080" w:hanging="360"/>
      </w:pPr>
      <w:rPr>
        <w:rFonts w:hint="default"/>
        <w:sz w:val="2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4E0703"/>
    <w:multiLevelType w:val="hybridMultilevel"/>
    <w:tmpl w:val="64E0553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76739"/>
    <w:multiLevelType w:val="hybridMultilevel"/>
    <w:tmpl w:val="40661DBA"/>
    <w:lvl w:ilvl="0" w:tplc="A68AA8E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B1100"/>
    <w:multiLevelType w:val="hybridMultilevel"/>
    <w:tmpl w:val="74BA610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D142D"/>
    <w:multiLevelType w:val="hybridMultilevel"/>
    <w:tmpl w:val="C424555E"/>
    <w:lvl w:ilvl="0" w:tplc="F396699A">
      <w:start w:val="1"/>
      <w:numFmt w:val="decimal"/>
      <w:lvlText w:val="(%1)"/>
      <w:lvlJc w:val="left"/>
      <w:pPr>
        <w:ind w:left="1080" w:hanging="360"/>
      </w:pPr>
      <w:rPr>
        <w:rFonts w:cstheme="minorBidi"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2950697">
    <w:abstractNumId w:val="8"/>
  </w:num>
  <w:num w:numId="2" w16cid:durableId="1727223698">
    <w:abstractNumId w:val="28"/>
  </w:num>
  <w:num w:numId="3" w16cid:durableId="1617373803">
    <w:abstractNumId w:val="24"/>
  </w:num>
  <w:num w:numId="4" w16cid:durableId="161357976">
    <w:abstractNumId w:val="6"/>
  </w:num>
  <w:num w:numId="5" w16cid:durableId="900989422">
    <w:abstractNumId w:val="11"/>
  </w:num>
  <w:num w:numId="6" w16cid:durableId="910118259">
    <w:abstractNumId w:val="0"/>
  </w:num>
  <w:num w:numId="7" w16cid:durableId="1261523233">
    <w:abstractNumId w:val="7"/>
  </w:num>
  <w:num w:numId="8" w16cid:durableId="1142652607">
    <w:abstractNumId w:val="5"/>
  </w:num>
  <w:num w:numId="9" w16cid:durableId="368803488">
    <w:abstractNumId w:val="1"/>
  </w:num>
  <w:num w:numId="10" w16cid:durableId="1678383075">
    <w:abstractNumId w:val="9"/>
  </w:num>
  <w:num w:numId="11" w16cid:durableId="425272694">
    <w:abstractNumId w:val="21"/>
  </w:num>
  <w:num w:numId="12" w16cid:durableId="353649583">
    <w:abstractNumId w:val="14"/>
  </w:num>
  <w:num w:numId="13" w16cid:durableId="1410543460">
    <w:abstractNumId w:val="17"/>
  </w:num>
  <w:num w:numId="14" w16cid:durableId="536627646">
    <w:abstractNumId w:val="3"/>
  </w:num>
  <w:num w:numId="15" w16cid:durableId="1107122082">
    <w:abstractNumId w:val="16"/>
  </w:num>
  <w:num w:numId="16" w16cid:durableId="1590886763">
    <w:abstractNumId w:val="18"/>
  </w:num>
  <w:num w:numId="17" w16cid:durableId="268247418">
    <w:abstractNumId w:val="26"/>
  </w:num>
  <w:num w:numId="18" w16cid:durableId="1913005172">
    <w:abstractNumId w:val="2"/>
  </w:num>
  <w:num w:numId="19" w16cid:durableId="817040229">
    <w:abstractNumId w:val="20"/>
  </w:num>
  <w:num w:numId="20" w16cid:durableId="1096561715">
    <w:abstractNumId w:val="22"/>
  </w:num>
  <w:num w:numId="21" w16cid:durableId="142310110">
    <w:abstractNumId w:val="23"/>
  </w:num>
  <w:num w:numId="22" w16cid:durableId="1917662855">
    <w:abstractNumId w:val="4"/>
  </w:num>
  <w:num w:numId="23" w16cid:durableId="1347518237">
    <w:abstractNumId w:val="15"/>
  </w:num>
  <w:num w:numId="24" w16cid:durableId="1480876146">
    <w:abstractNumId w:val="27"/>
  </w:num>
  <w:num w:numId="25" w16cid:durableId="122503342">
    <w:abstractNumId w:val="10"/>
  </w:num>
  <w:num w:numId="26" w16cid:durableId="1902445872">
    <w:abstractNumId w:val="12"/>
  </w:num>
  <w:num w:numId="27" w16cid:durableId="349837412">
    <w:abstractNumId w:val="25"/>
  </w:num>
  <w:num w:numId="28" w16cid:durableId="1095396515">
    <w:abstractNumId w:val="29"/>
  </w:num>
  <w:num w:numId="29" w16cid:durableId="218906476">
    <w:abstractNumId w:val="13"/>
  </w:num>
  <w:num w:numId="30" w16cid:durableId="19085654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C7"/>
    <w:rsid w:val="00006241"/>
    <w:rsid w:val="00016654"/>
    <w:rsid w:val="00025DDE"/>
    <w:rsid w:val="000270B2"/>
    <w:rsid w:val="0002742F"/>
    <w:rsid w:val="00030576"/>
    <w:rsid w:val="00036AF6"/>
    <w:rsid w:val="000408ED"/>
    <w:rsid w:val="00051863"/>
    <w:rsid w:val="00054027"/>
    <w:rsid w:val="000579F0"/>
    <w:rsid w:val="0007123E"/>
    <w:rsid w:val="0007363C"/>
    <w:rsid w:val="00074FC1"/>
    <w:rsid w:val="00080E84"/>
    <w:rsid w:val="00081FC9"/>
    <w:rsid w:val="000930DF"/>
    <w:rsid w:val="0009557D"/>
    <w:rsid w:val="00096CAC"/>
    <w:rsid w:val="00097AA4"/>
    <w:rsid w:val="00097D57"/>
    <w:rsid w:val="000A5FD3"/>
    <w:rsid w:val="000C5894"/>
    <w:rsid w:val="000C5BE3"/>
    <w:rsid w:val="000C6C4A"/>
    <w:rsid w:val="000D2AA9"/>
    <w:rsid w:val="000D5467"/>
    <w:rsid w:val="000D5DCD"/>
    <w:rsid w:val="000D6C4C"/>
    <w:rsid w:val="000E368E"/>
    <w:rsid w:val="000E3878"/>
    <w:rsid w:val="000E705B"/>
    <w:rsid w:val="000F3B7B"/>
    <w:rsid w:val="000F6492"/>
    <w:rsid w:val="00104385"/>
    <w:rsid w:val="00106918"/>
    <w:rsid w:val="00110164"/>
    <w:rsid w:val="00111CEA"/>
    <w:rsid w:val="00112723"/>
    <w:rsid w:val="001250B7"/>
    <w:rsid w:val="001401D7"/>
    <w:rsid w:val="00140B5F"/>
    <w:rsid w:val="001449F0"/>
    <w:rsid w:val="00152ABE"/>
    <w:rsid w:val="00153D60"/>
    <w:rsid w:val="00154627"/>
    <w:rsid w:val="0015482B"/>
    <w:rsid w:val="00163E31"/>
    <w:rsid w:val="00192FA9"/>
    <w:rsid w:val="001A1B8E"/>
    <w:rsid w:val="001A7206"/>
    <w:rsid w:val="001C6963"/>
    <w:rsid w:val="001D1F04"/>
    <w:rsid w:val="001E0ABF"/>
    <w:rsid w:val="001E0B5D"/>
    <w:rsid w:val="001F4763"/>
    <w:rsid w:val="001F586C"/>
    <w:rsid w:val="001F610E"/>
    <w:rsid w:val="001F6D4F"/>
    <w:rsid w:val="00207F70"/>
    <w:rsid w:val="00212807"/>
    <w:rsid w:val="0021730D"/>
    <w:rsid w:val="00230220"/>
    <w:rsid w:val="0023797C"/>
    <w:rsid w:val="00237F8F"/>
    <w:rsid w:val="002406C7"/>
    <w:rsid w:val="00243D1B"/>
    <w:rsid w:val="00243FF3"/>
    <w:rsid w:val="002519C2"/>
    <w:rsid w:val="00253CDD"/>
    <w:rsid w:val="00256119"/>
    <w:rsid w:val="00260E45"/>
    <w:rsid w:val="0027180E"/>
    <w:rsid w:val="00277548"/>
    <w:rsid w:val="00285611"/>
    <w:rsid w:val="0029665A"/>
    <w:rsid w:val="002B6732"/>
    <w:rsid w:val="002B7865"/>
    <w:rsid w:val="002C7706"/>
    <w:rsid w:val="002C7FB0"/>
    <w:rsid w:val="002D122A"/>
    <w:rsid w:val="002F0B77"/>
    <w:rsid w:val="002F11C6"/>
    <w:rsid w:val="00304221"/>
    <w:rsid w:val="0030610C"/>
    <w:rsid w:val="0031111F"/>
    <w:rsid w:val="00315679"/>
    <w:rsid w:val="0031652F"/>
    <w:rsid w:val="00322444"/>
    <w:rsid w:val="0032701F"/>
    <w:rsid w:val="00327956"/>
    <w:rsid w:val="003323F3"/>
    <w:rsid w:val="00341DAD"/>
    <w:rsid w:val="00347273"/>
    <w:rsid w:val="00347940"/>
    <w:rsid w:val="003517F1"/>
    <w:rsid w:val="00356E98"/>
    <w:rsid w:val="003575E6"/>
    <w:rsid w:val="00373511"/>
    <w:rsid w:val="00381363"/>
    <w:rsid w:val="00384D6B"/>
    <w:rsid w:val="00386B36"/>
    <w:rsid w:val="00391C4B"/>
    <w:rsid w:val="003A194B"/>
    <w:rsid w:val="003A62A7"/>
    <w:rsid w:val="003B247F"/>
    <w:rsid w:val="003B65E5"/>
    <w:rsid w:val="003C19A4"/>
    <w:rsid w:val="003C332F"/>
    <w:rsid w:val="003C3CBC"/>
    <w:rsid w:val="003C459C"/>
    <w:rsid w:val="003D01EC"/>
    <w:rsid w:val="003F1A30"/>
    <w:rsid w:val="003F44FB"/>
    <w:rsid w:val="003F55AA"/>
    <w:rsid w:val="003F65C1"/>
    <w:rsid w:val="00410961"/>
    <w:rsid w:val="00411070"/>
    <w:rsid w:val="00414CBC"/>
    <w:rsid w:val="00422E5D"/>
    <w:rsid w:val="0042571F"/>
    <w:rsid w:val="00445251"/>
    <w:rsid w:val="004539A7"/>
    <w:rsid w:val="00461A90"/>
    <w:rsid w:val="00462EAD"/>
    <w:rsid w:val="0046475B"/>
    <w:rsid w:val="004676C1"/>
    <w:rsid w:val="004710A2"/>
    <w:rsid w:val="00471FCB"/>
    <w:rsid w:val="00477AE7"/>
    <w:rsid w:val="004859F4"/>
    <w:rsid w:val="00485C30"/>
    <w:rsid w:val="004933F4"/>
    <w:rsid w:val="0049614E"/>
    <w:rsid w:val="004A4EFC"/>
    <w:rsid w:val="004C1A0B"/>
    <w:rsid w:val="004C6D32"/>
    <w:rsid w:val="004D0D3C"/>
    <w:rsid w:val="004D46BF"/>
    <w:rsid w:val="004D47B6"/>
    <w:rsid w:val="004D5347"/>
    <w:rsid w:val="004D6999"/>
    <w:rsid w:val="004E3013"/>
    <w:rsid w:val="004E6D61"/>
    <w:rsid w:val="004F059B"/>
    <w:rsid w:val="004F1DCD"/>
    <w:rsid w:val="004F554D"/>
    <w:rsid w:val="00507185"/>
    <w:rsid w:val="00516AD7"/>
    <w:rsid w:val="00520FFB"/>
    <w:rsid w:val="00524130"/>
    <w:rsid w:val="005327B5"/>
    <w:rsid w:val="00535A3B"/>
    <w:rsid w:val="00536444"/>
    <w:rsid w:val="00546E51"/>
    <w:rsid w:val="00550E00"/>
    <w:rsid w:val="00551D41"/>
    <w:rsid w:val="00552AE2"/>
    <w:rsid w:val="00552CA8"/>
    <w:rsid w:val="00577DCE"/>
    <w:rsid w:val="0059017F"/>
    <w:rsid w:val="0059561A"/>
    <w:rsid w:val="005A066D"/>
    <w:rsid w:val="005A1D3E"/>
    <w:rsid w:val="005A1E02"/>
    <w:rsid w:val="005A46E1"/>
    <w:rsid w:val="005B06B3"/>
    <w:rsid w:val="005B6E2F"/>
    <w:rsid w:val="005C1CA9"/>
    <w:rsid w:val="005C2249"/>
    <w:rsid w:val="005E16AA"/>
    <w:rsid w:val="005E299A"/>
    <w:rsid w:val="005E3D0A"/>
    <w:rsid w:val="005F3FA8"/>
    <w:rsid w:val="005F4353"/>
    <w:rsid w:val="005F4D7F"/>
    <w:rsid w:val="00603D21"/>
    <w:rsid w:val="00606C10"/>
    <w:rsid w:val="006155B4"/>
    <w:rsid w:val="00616BA6"/>
    <w:rsid w:val="006279F4"/>
    <w:rsid w:val="00631286"/>
    <w:rsid w:val="00633772"/>
    <w:rsid w:val="00634E37"/>
    <w:rsid w:val="00642626"/>
    <w:rsid w:val="00642EC2"/>
    <w:rsid w:val="00651DB6"/>
    <w:rsid w:val="00653CBE"/>
    <w:rsid w:val="00654399"/>
    <w:rsid w:val="00657641"/>
    <w:rsid w:val="006614F4"/>
    <w:rsid w:val="00664E34"/>
    <w:rsid w:val="00672B8D"/>
    <w:rsid w:val="0068290C"/>
    <w:rsid w:val="00684521"/>
    <w:rsid w:val="00684932"/>
    <w:rsid w:val="006932BE"/>
    <w:rsid w:val="006A259F"/>
    <w:rsid w:val="006A394E"/>
    <w:rsid w:val="006B040E"/>
    <w:rsid w:val="006D4013"/>
    <w:rsid w:val="006D4BFD"/>
    <w:rsid w:val="006F08B1"/>
    <w:rsid w:val="006F5A09"/>
    <w:rsid w:val="00711776"/>
    <w:rsid w:val="00725AE0"/>
    <w:rsid w:val="0073117B"/>
    <w:rsid w:val="007355C4"/>
    <w:rsid w:val="0073763B"/>
    <w:rsid w:val="00740694"/>
    <w:rsid w:val="00744BA3"/>
    <w:rsid w:val="007524F2"/>
    <w:rsid w:val="007527E7"/>
    <w:rsid w:val="007559B4"/>
    <w:rsid w:val="00755AE7"/>
    <w:rsid w:val="007618EE"/>
    <w:rsid w:val="007725B8"/>
    <w:rsid w:val="00776134"/>
    <w:rsid w:val="00782F3F"/>
    <w:rsid w:val="007853FF"/>
    <w:rsid w:val="007A0ED6"/>
    <w:rsid w:val="007A1D61"/>
    <w:rsid w:val="007A69EE"/>
    <w:rsid w:val="007B42F2"/>
    <w:rsid w:val="007C3724"/>
    <w:rsid w:val="007C3986"/>
    <w:rsid w:val="007D2132"/>
    <w:rsid w:val="007D5DF9"/>
    <w:rsid w:val="007E37AE"/>
    <w:rsid w:val="007E4E16"/>
    <w:rsid w:val="007E752A"/>
    <w:rsid w:val="007F038F"/>
    <w:rsid w:val="007F65E1"/>
    <w:rsid w:val="00804D44"/>
    <w:rsid w:val="00814B0B"/>
    <w:rsid w:val="0082289D"/>
    <w:rsid w:val="008238BE"/>
    <w:rsid w:val="00823AEE"/>
    <w:rsid w:val="00831FC5"/>
    <w:rsid w:val="00837761"/>
    <w:rsid w:val="00842D45"/>
    <w:rsid w:val="008512DF"/>
    <w:rsid w:val="00851C78"/>
    <w:rsid w:val="00856106"/>
    <w:rsid w:val="0086005E"/>
    <w:rsid w:val="00865AA4"/>
    <w:rsid w:val="00873C0D"/>
    <w:rsid w:val="00875C2F"/>
    <w:rsid w:val="008854CB"/>
    <w:rsid w:val="008870C0"/>
    <w:rsid w:val="00887B24"/>
    <w:rsid w:val="00897BA7"/>
    <w:rsid w:val="008B3F6D"/>
    <w:rsid w:val="008B5519"/>
    <w:rsid w:val="008D0200"/>
    <w:rsid w:val="008D2321"/>
    <w:rsid w:val="008D3CC6"/>
    <w:rsid w:val="008F221E"/>
    <w:rsid w:val="008F520B"/>
    <w:rsid w:val="008F6B53"/>
    <w:rsid w:val="008F793E"/>
    <w:rsid w:val="00901B73"/>
    <w:rsid w:val="00914C2B"/>
    <w:rsid w:val="00917AD6"/>
    <w:rsid w:val="009223F5"/>
    <w:rsid w:val="00941913"/>
    <w:rsid w:val="00947A1C"/>
    <w:rsid w:val="00962C1F"/>
    <w:rsid w:val="00964482"/>
    <w:rsid w:val="00982CD9"/>
    <w:rsid w:val="00983F8B"/>
    <w:rsid w:val="00984737"/>
    <w:rsid w:val="00985C2C"/>
    <w:rsid w:val="009A707B"/>
    <w:rsid w:val="009B29E0"/>
    <w:rsid w:val="009C4EF9"/>
    <w:rsid w:val="009C7C47"/>
    <w:rsid w:val="009D28AC"/>
    <w:rsid w:val="009E071F"/>
    <w:rsid w:val="00A11ECD"/>
    <w:rsid w:val="00A15869"/>
    <w:rsid w:val="00A2691A"/>
    <w:rsid w:val="00A30250"/>
    <w:rsid w:val="00A34B50"/>
    <w:rsid w:val="00A51364"/>
    <w:rsid w:val="00A61664"/>
    <w:rsid w:val="00A647B7"/>
    <w:rsid w:val="00A670AF"/>
    <w:rsid w:val="00A72504"/>
    <w:rsid w:val="00A754F3"/>
    <w:rsid w:val="00A7670D"/>
    <w:rsid w:val="00A85A38"/>
    <w:rsid w:val="00A911B8"/>
    <w:rsid w:val="00AA5D4C"/>
    <w:rsid w:val="00AC7DAA"/>
    <w:rsid w:val="00AE5D89"/>
    <w:rsid w:val="00AF0E57"/>
    <w:rsid w:val="00AF0F06"/>
    <w:rsid w:val="00AF38EA"/>
    <w:rsid w:val="00B10A27"/>
    <w:rsid w:val="00B1487B"/>
    <w:rsid w:val="00B309C7"/>
    <w:rsid w:val="00B33051"/>
    <w:rsid w:val="00B34C0A"/>
    <w:rsid w:val="00B35E80"/>
    <w:rsid w:val="00B3772E"/>
    <w:rsid w:val="00B42C37"/>
    <w:rsid w:val="00B46062"/>
    <w:rsid w:val="00B52920"/>
    <w:rsid w:val="00B54337"/>
    <w:rsid w:val="00B629AC"/>
    <w:rsid w:val="00B741F1"/>
    <w:rsid w:val="00B7625E"/>
    <w:rsid w:val="00B76787"/>
    <w:rsid w:val="00B91A4A"/>
    <w:rsid w:val="00BA228F"/>
    <w:rsid w:val="00BA4C34"/>
    <w:rsid w:val="00BA4C8F"/>
    <w:rsid w:val="00BB3095"/>
    <w:rsid w:val="00BB7728"/>
    <w:rsid w:val="00BC0F80"/>
    <w:rsid w:val="00BC326A"/>
    <w:rsid w:val="00BC3F9A"/>
    <w:rsid w:val="00C02DCD"/>
    <w:rsid w:val="00C110E7"/>
    <w:rsid w:val="00C12247"/>
    <w:rsid w:val="00C17158"/>
    <w:rsid w:val="00C2445F"/>
    <w:rsid w:val="00C5481C"/>
    <w:rsid w:val="00C62533"/>
    <w:rsid w:val="00C83F40"/>
    <w:rsid w:val="00C916D4"/>
    <w:rsid w:val="00C953FB"/>
    <w:rsid w:val="00C954A5"/>
    <w:rsid w:val="00CA1E11"/>
    <w:rsid w:val="00CA5D4B"/>
    <w:rsid w:val="00CB088C"/>
    <w:rsid w:val="00CB179F"/>
    <w:rsid w:val="00CB36B8"/>
    <w:rsid w:val="00CB38F5"/>
    <w:rsid w:val="00CB79C3"/>
    <w:rsid w:val="00CC17C0"/>
    <w:rsid w:val="00CC3AE9"/>
    <w:rsid w:val="00CC70E0"/>
    <w:rsid w:val="00CD5843"/>
    <w:rsid w:val="00CE0594"/>
    <w:rsid w:val="00CE6102"/>
    <w:rsid w:val="00CF1F9C"/>
    <w:rsid w:val="00CF78E9"/>
    <w:rsid w:val="00D058B9"/>
    <w:rsid w:val="00D061DB"/>
    <w:rsid w:val="00D153F1"/>
    <w:rsid w:val="00D16569"/>
    <w:rsid w:val="00D16A4A"/>
    <w:rsid w:val="00D22F89"/>
    <w:rsid w:val="00D2797B"/>
    <w:rsid w:val="00D347B3"/>
    <w:rsid w:val="00D40D30"/>
    <w:rsid w:val="00D42F1C"/>
    <w:rsid w:val="00D47D5B"/>
    <w:rsid w:val="00D61CC7"/>
    <w:rsid w:val="00D63B76"/>
    <w:rsid w:val="00D63FA3"/>
    <w:rsid w:val="00D65ECF"/>
    <w:rsid w:val="00D72D1F"/>
    <w:rsid w:val="00D74319"/>
    <w:rsid w:val="00D80073"/>
    <w:rsid w:val="00D936E6"/>
    <w:rsid w:val="00D96407"/>
    <w:rsid w:val="00DB5229"/>
    <w:rsid w:val="00DD0EA9"/>
    <w:rsid w:val="00DD7967"/>
    <w:rsid w:val="00DE17D8"/>
    <w:rsid w:val="00E04E4B"/>
    <w:rsid w:val="00E229AC"/>
    <w:rsid w:val="00E26874"/>
    <w:rsid w:val="00E3136E"/>
    <w:rsid w:val="00E8620D"/>
    <w:rsid w:val="00E86A30"/>
    <w:rsid w:val="00E874E4"/>
    <w:rsid w:val="00E90AED"/>
    <w:rsid w:val="00E93C2C"/>
    <w:rsid w:val="00EA26C6"/>
    <w:rsid w:val="00EA619A"/>
    <w:rsid w:val="00EA751F"/>
    <w:rsid w:val="00EB24F9"/>
    <w:rsid w:val="00EC56CC"/>
    <w:rsid w:val="00EE5B85"/>
    <w:rsid w:val="00EF0C82"/>
    <w:rsid w:val="00EF1B2D"/>
    <w:rsid w:val="00EF1C0D"/>
    <w:rsid w:val="00EF5EBE"/>
    <w:rsid w:val="00F018B4"/>
    <w:rsid w:val="00F0512A"/>
    <w:rsid w:val="00F073E8"/>
    <w:rsid w:val="00F073EA"/>
    <w:rsid w:val="00F120B1"/>
    <w:rsid w:val="00F17370"/>
    <w:rsid w:val="00F40053"/>
    <w:rsid w:val="00F4343F"/>
    <w:rsid w:val="00F61ACC"/>
    <w:rsid w:val="00F70599"/>
    <w:rsid w:val="00F73CE5"/>
    <w:rsid w:val="00F75522"/>
    <w:rsid w:val="00F804BD"/>
    <w:rsid w:val="00F8083A"/>
    <w:rsid w:val="00F827A8"/>
    <w:rsid w:val="00FB0578"/>
    <w:rsid w:val="00FB0926"/>
    <w:rsid w:val="00FC1B2C"/>
    <w:rsid w:val="00FC3983"/>
    <w:rsid w:val="00FD186E"/>
    <w:rsid w:val="00FD6669"/>
    <w:rsid w:val="00FE285F"/>
    <w:rsid w:val="00FF1E9A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042BAF"/>
  <w15:chartTrackingRefBased/>
  <w15:docId w15:val="{5CBCFADA-0819-431F-B5E0-CFEA269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C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9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0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C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B309C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0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9C7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9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9C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309C7"/>
    <w:rPr>
      <w:vertAlign w:val="superscript"/>
    </w:rPr>
  </w:style>
  <w:style w:type="paragraph" w:styleId="Revision">
    <w:name w:val="Revision"/>
    <w:hidden/>
    <w:uiPriority w:val="99"/>
    <w:semiHidden/>
    <w:rsid w:val="00FC39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B8E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6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DB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46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46E1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46E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10A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022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ednet.ifrc.org/FedNet/Resources_and_Services/Disasters/Disaster%20and%20crisis%20management/DM%20policy%20and%20coordination/Revised%20Principles%20and%20Rules%202013.pdf" TargetMode="External"/><Relationship Id="rId18" Type="http://schemas.openxmlformats.org/officeDocument/2006/relationships/hyperlink" Target="https://www.ifrc.org/sites/default/files/2021-06/20200511_DREF_Guidelines_ONLINE-_OPT_FINAL-1.pdf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ifrcorg.sharepoint.com/sites/IFRCSharing/NS%20Preparedness/Forms/AllItems.aspx?ct=1685953896134&amp;or=Teams%2DHL&amp;ga=1&amp;LOF=1&amp;id=%2Fsites%2FIFRCSharing%2FNS%20Preparedness%2FPER%20Promotional%20pack%2FPER%20Promotional%20pack%20EN%2FPER%20in%20operations%2FReadiness%20check%5FPER&amp;viewid=1a42d8a1%2D01a2%2D4c24%2D9e8d%2D3fb17ca1d86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frcorg.sharepoint.com/sites/OurIFRC/SitePages/GMM-Compendium.aspx?locale=en-us&amp;inPlaceNav=portals" TargetMode="External"/><Relationship Id="rId17" Type="http://schemas.openxmlformats.org/officeDocument/2006/relationships/hyperlink" Target="https://smcctoolkit.org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frc.org/document/seville-agreement-2" TargetMode="External"/><Relationship Id="rId20" Type="http://schemas.openxmlformats.org/officeDocument/2006/relationships/hyperlink" Target="https://surgelearning.ifrc.org/sites/default/files/media/document/2022-12/minimum-pre-training-required-for-ifrc-rapid-response-deployments-and-trainings-2022-dec_0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dnet.ifrc.org/PageFiles/255626/259_e_v100_Risk_Management_Policy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file:///C:\Users\jennifer.breckenridg\AppData\Local\Microsoft\Windows\INetCache\Content.Outlook\4JJUG1WT\ERF%20with%20RACI_%20(002).pdf" TargetMode="External"/><Relationship Id="rId23" Type="http://schemas.openxmlformats.org/officeDocument/2006/relationships/hyperlink" Target="https://smcctoolkit.org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frcorg.sharepoint.com/:w:/r/sites/OurIFRC/_layouts/15/Doc.aspx?sourcedoc=%7bF422128A-EAAC-4EC5-9AAD-41CCA63FE08F%7d&amp;file=Guidelines%20on%20the%20New%20Emergency%20Appeal%20Package.docx&amp;action=default&amp;mobileredirect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frc.org/sites/default/files/2022-05/20210127_IFRC-DRM-EN%5b1%5d.pdf" TargetMode="External"/><Relationship Id="rId22" Type="http://schemas.openxmlformats.org/officeDocument/2006/relationships/hyperlink" Target="https://ifrcorg.sharepoint.com/:x:/r/sites/IFRCSharing/_layouts/15/Doc.aspx?sourcedoc=%7BBACEE958-FC51-4616-9882-7266FBC1FDF3%7D&amp;file=PER_Ops%20Response%20Capacity%20QuickCheck%20excel%20tool%202022.xlsx&amp;action=default&amp;mobileredirect=true" TargetMode="External"/><Relationship Id="rId27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fednet.ifrc.org/en/ourifrc/about-the-federation/ppp/cash-management-policy-and-procedure/" TargetMode="External"/><Relationship Id="rId18" Type="http://schemas.openxmlformats.org/officeDocument/2006/relationships/hyperlink" Target="https://ifrc.csod.com/ui/lms-learning-details/app/course/1185d7e3-91f6-4ae1-89e2-61518480497f" TargetMode="External"/><Relationship Id="rId26" Type="http://schemas.openxmlformats.org/officeDocument/2006/relationships/hyperlink" Target="https://www.ifrc.org/document/seville-agreement-2" TargetMode="External"/><Relationship Id="rId39" Type="http://schemas.openxmlformats.org/officeDocument/2006/relationships/hyperlink" Target="https://cash-hub.org/wp-content/uploads/sites/3/2020/08/IFRC-CTP-engaging-National-Society-leadership_EN.pdf" TargetMode="External"/><Relationship Id="rId21" Type="http://schemas.openxmlformats.org/officeDocument/2006/relationships/hyperlink" Target="https://www.ifrc.org/document/preparedness-effective-response-leaflet-and-case-studies" TargetMode="External"/><Relationship Id="rId34" Type="http://schemas.openxmlformats.org/officeDocument/2006/relationships/hyperlink" Target="https://eur02.safelinks.protection.outlook.com/?url=https%3A%2F%2Fifrc.csod.com%2Fui%2Flms-learning-details%2Fapp%2Fcurriculum%2Fe095751e-53d5-4e26-9f66-ee1db2c65e5d&amp;data=05%7C01%7Cjennifer.breckenridge%40ifrc.org%7Ccec45389a61e4a33282a08dbbb52c3b1%7Ca2b53be5734e4e6cab0dd184f60fd917%7C0%7C0%7C638309736370663665%7CUnknown%7CTWFpbGZsb3d8eyJWIjoiMC4wLjAwMDAiLCJQIjoiV2luMzIiLCJBTiI6Ik1haWwiLCJXVCI6Mn0%3D%7C3000%7C%7C%7C&amp;sdata=j2BqXcj%2BRi1Fu8ded8rkcCjgspzfoG1piSBJD9OGJtY%3D&amp;reserved=0" TargetMode="External"/><Relationship Id="rId42" Type="http://schemas.openxmlformats.org/officeDocument/2006/relationships/hyperlink" Target="https://cash-hub.org/guidance-and-tools/cash-in-emergencies-toolkit/" TargetMode="External"/><Relationship Id="rId47" Type="http://schemas.openxmlformats.org/officeDocument/2006/relationships/hyperlink" Target="https://go.ifrc.org/regions/0" TargetMode="External"/><Relationship Id="rId50" Type="http://schemas.openxmlformats.org/officeDocument/2006/relationships/hyperlink" Target="https://go.ifrc.org/regions/3" TargetMode="External"/><Relationship Id="rId55" Type="http://schemas.openxmlformats.org/officeDocument/2006/relationships/hyperlink" Target="https://ifrc.csod.com/ui/lms-learning-details/app/course/e556e3e6-3863-4b68-a622-d674db19b398" TargetMode="External"/><Relationship Id="rId7" Type="http://schemas.openxmlformats.org/officeDocument/2006/relationships/hyperlink" Target="https://ifrcstaysafe.org/stay-safe-e-course" TargetMode="External"/><Relationship Id="rId12" Type="http://schemas.openxmlformats.org/officeDocument/2006/relationships/hyperlink" Target="https://fednet.ifrc.org/en/ourifrc/about-the-federation/ppp/banking-and-currency/" TargetMode="External"/><Relationship Id="rId17" Type="http://schemas.openxmlformats.org/officeDocument/2006/relationships/hyperlink" Target="https://fednet.ifrc.org/FedNet/Our%20IFRC/Procedures%20Database/097_e_v200_warehouse%20manual.pdf" TargetMode="External"/><Relationship Id="rId25" Type="http://schemas.openxmlformats.org/officeDocument/2006/relationships/hyperlink" Target="https://ifrcorg.sharepoint.com/:b:/r/sites/OurIFRC/GMM_Compendium/Key%20Texts/IFRC%20Secretariat%20Strategic%20Plan%20-%20An%20agenda%20for%20Renewal.pdf?csf=1&amp;web=1&amp;e=La2Cz2" TargetMode="External"/><Relationship Id="rId33" Type="http://schemas.openxmlformats.org/officeDocument/2006/relationships/hyperlink" Target="https://eur02.safelinks.protection.outlook.com/?url=https%3A%2F%2Fifrc.csod.com%2Fui%2Flms-learning-details%2Fapp%2Fcourse%2F86fe4df6-0491-44ea-9aea-0a5ff7c90f65&amp;data=05%7C01%7Cjennifer.breckenridge%40ifrc.org%7Ccec45389a61e4a33282a08dbbb52c3b1%7Ca2b53be5734e4e6cab0dd184f60fd917%7C0%7C0%7C638309736370663665%7CUnknown%7CTWFpbGZsb3d8eyJWIjoiMC4wLjAwMDAiLCJQIjoiV2luMzIiLCJBTiI6Ik1haWwiLCJXVCI6Mn0%3D%7C3000%7C%7C%7C&amp;sdata=P%2Bv2iaZoKMFF7WbB8nK%2BvrOOtkRpKp89G5wf8HyEgjE%3D&amp;reserved=0" TargetMode="External"/><Relationship Id="rId38" Type="http://schemas.openxmlformats.org/officeDocument/2006/relationships/hyperlink" Target="https://eur02.safelinks.protection.outlook.com/?url=https%3A%2F%2Fkayaconnect.org%2Fcourse%2Finfo.php%3Fid%3D1449&amp;data=05%7C01%7Cjennifer.breckenridge%40ifrc.org%7Ccec45389a61e4a33282a08dbbb52c3b1%7Ca2b53be5734e4e6cab0dd184f60fd917%7C0%7C0%7C638309736370663665%7CUnknown%7CTWFpbGZsb3d8eyJWIjoiMC4wLjAwMDAiLCJQIjoiV2luMzIiLCJBTiI6Ik1haWwiLCJXVCI6Mn0%3D%7C3000%7C%7C%7C&amp;sdata=%2FpoQCL0JRJsctM%2B7n3Q38Ci3faIccYxefT7dYtBvnXY%3D&amp;reserved=0" TargetMode="External"/><Relationship Id="rId46" Type="http://schemas.openxmlformats.org/officeDocument/2006/relationships/hyperlink" Target="https://go.ifrc.org/regions/2" TargetMode="External"/><Relationship Id="rId59" Type="http://schemas.openxmlformats.org/officeDocument/2006/relationships/hyperlink" Target="file:///C:/Users/jennifer.breckenridg/AppData/Local/Microsoft/Windows/INetCache/Content.Outlook/4JJUG1WT/IFRC%20-%20Full%20Security%20Management%20Clauses-%20Annex%20B%20Final.pdf" TargetMode="External"/><Relationship Id="rId2" Type="http://schemas.openxmlformats.org/officeDocument/2006/relationships/hyperlink" Target="https://www.ifrc.org/document/preparedness-effective-response-leaflet-and-case-studies" TargetMode="External"/><Relationship Id="rId16" Type="http://schemas.openxmlformats.org/officeDocument/2006/relationships/hyperlink" Target="https://fednet.ifrc.org/FedNet/Our%20IFRC/Procedures%20Database/098_e_v200_fleet%20manual.pdf" TargetMode="External"/><Relationship Id="rId20" Type="http://schemas.openxmlformats.org/officeDocument/2006/relationships/hyperlink" Target="https://www.ifrc.org/our-work/disasters-climate-and-crises/disaster-preparedness" TargetMode="External"/><Relationship Id="rId29" Type="http://schemas.openxmlformats.org/officeDocument/2006/relationships/hyperlink" Target="https://www.ifrc.org/document/seville-agreement-2" TargetMode="External"/><Relationship Id="rId41" Type="http://schemas.openxmlformats.org/officeDocument/2006/relationships/hyperlink" Target="https://cash-hub.org/resources/national-society-cash-readiness/" TargetMode="External"/><Relationship Id="rId54" Type="http://schemas.openxmlformats.org/officeDocument/2006/relationships/hyperlink" Target="https://ifrc.csod.com/ui/lms-learning-details/app/course/1185d7e3-91f6-4ae1-89e2-61518480497f" TargetMode="External"/><Relationship Id="rId1" Type="http://schemas.openxmlformats.org/officeDocument/2006/relationships/hyperlink" Target="https://www.ifrc.org/our-work/disasters-climate-and-crises/disaster-preparedness" TargetMode="External"/><Relationship Id="rId6" Type="http://schemas.openxmlformats.org/officeDocument/2006/relationships/hyperlink" Target="https://ifrcstaysafe.org/msr" TargetMode="External"/><Relationship Id="rId11" Type="http://schemas.openxmlformats.org/officeDocument/2006/relationships/hyperlink" Target="https://eur02.safelinks.protection.outlook.com/?url=https%3A%2F%2Fifrcorg.sharepoint.com%2Fsites%2FDataProtectionToolkit2%3FOR%3DTeams-HL%26CT%3D1675265319262&amp;data=05%7C01%7Cjennifer.breckenridge%40ifrc.org%7Cc420a2dd80054830e93808dbb2c2275c%7Ca2b53be5734e4e6cab0dd184f60fd917%7C0%7C0%7C638300319177528709%7CUnknown%7CTWFpbGZsb3d8eyJWIjoiMC4wLjAwMDAiLCJQIjoiV2luMzIiLCJBTiI6Ik1haWwiLCJXVCI6Mn0%3D%7C3000%7C%7C%7C&amp;sdata=vINLA54e4O51XYK48F%2BNMKJJ1qYALFMPy8lhjiQc0uA%3D&amp;reserved=0" TargetMode="External"/><Relationship Id="rId24" Type="http://schemas.openxmlformats.org/officeDocument/2006/relationships/hyperlink" Target="https://www.ifrc.org/sites/default/files/2021-08/1220900-CPG%202012-EN-LR.pdf" TargetMode="External"/><Relationship Id="rId32" Type="http://schemas.openxmlformats.org/officeDocument/2006/relationships/hyperlink" Target="https://kayaconnect.org/course/info.php?id=496" TargetMode="External"/><Relationship Id="rId37" Type="http://schemas.openxmlformats.org/officeDocument/2006/relationships/hyperlink" Target="https://eur02.safelinks.protection.outlook.com/?url=https%3A%2F%2Fkayaconnect.org%2Fcourse%2Finfo.php%3Fid%3D2546&amp;data=05%7C01%7Cjennifer.breckenridge%40ifrc.org%7Ccec45389a61e4a33282a08dbbb52c3b1%7Ca2b53be5734e4e6cab0dd184f60fd917%7C0%7C0%7C638309736370663665%7CUnknown%7CTWFpbGZsb3d8eyJWIjoiMC4wLjAwMDAiLCJQIjoiV2luMzIiLCJBTiI6Ik1haWwiLCJXVCI6Mn0%3D%7C3000%7C%7C%7C&amp;sdata=azMGSVVlrHk65QitF8FJIpyLLQT3QTS9p8Uw3XEEZgY%3D&amp;reserved=0" TargetMode="External"/><Relationship Id="rId40" Type="http://schemas.openxmlformats.org/officeDocument/2006/relationships/hyperlink" Target="https://kayaconnect.org/course/info.php?id=605" TargetMode="External"/><Relationship Id="rId45" Type="http://schemas.openxmlformats.org/officeDocument/2006/relationships/hyperlink" Target="https://fednet.ifrc.org/PageFiles/238387/Anticipatory%20Pillar%20of%20the%20DREF%20brochure%20practice%20V2%20(2).pdf" TargetMode="External"/><Relationship Id="rId53" Type="http://schemas.openxmlformats.org/officeDocument/2006/relationships/hyperlink" Target="https://fednet.ifrc.org/PageFiles/238387/Anticipatory%20Pillar%20of%20the%20DREF%20brochure%20practice%20V2%20(2).pdf" TargetMode="External"/><Relationship Id="rId58" Type="http://schemas.openxmlformats.org/officeDocument/2006/relationships/hyperlink" Target="https://ifrcorg-my.sharepoint.com/:w:/g/personal/isabelle_granger_ifrc_org/EdU4jcIinlhFvZ_7svNS8FQBNOEEvhwOV74PiMrPoNW-xg?e=iI4XA5" TargetMode="External"/><Relationship Id="rId5" Type="http://schemas.openxmlformats.org/officeDocument/2006/relationships/hyperlink" Target="https://fednet.ifrc.org/FedNet/Our%20IFRC/Procedures%20Database/Procedures/228_e_attach1_opening%20checklist.pdf" TargetMode="External"/><Relationship Id="rId15" Type="http://schemas.openxmlformats.org/officeDocument/2006/relationships/hyperlink" Target="https://fednet.ifrc.org/FedNet/Our%20IFRC/Procedures%20Database/Procedures/092_e_v300_Procurement%20Manual.pdf" TargetMode="External"/><Relationship Id="rId23" Type="http://schemas.openxmlformats.org/officeDocument/2006/relationships/hyperlink" Target="https://ifrcorg.sharepoint.com/:w:/r/sites/IFRCSharing/_layouts/15/Doc.aspx?sourcedoc=%7BC9D4E2D0-0454-43EB-9C91-9CEB4DEA3316%7D&amp;file=PER%20Mechanism-detailed_EN.docx&amp;action=default&amp;mobileredirect=true" TargetMode="External"/><Relationship Id="rId28" Type="http://schemas.openxmlformats.org/officeDocument/2006/relationships/hyperlink" Target="https://smcctoolkit.org/wp-content/uploads/2023/07/MCA-Template-Version-2023-English.docx" TargetMode="External"/><Relationship Id="rId36" Type="http://schemas.openxmlformats.org/officeDocument/2006/relationships/hyperlink" Target="https://fednet.ifrc.org/PageFiles/212129/207_e_v100_Cash%20Based%20Programming%20Financial%20Procedures.pdf" TargetMode="External"/><Relationship Id="rId49" Type="http://schemas.openxmlformats.org/officeDocument/2006/relationships/hyperlink" Target="https://go.ifrc.org/regions/4" TargetMode="External"/><Relationship Id="rId57" Type="http://schemas.openxmlformats.org/officeDocument/2006/relationships/hyperlink" Target="https://ifrcorg-my.sharepoint.com/:w:/g/personal/isabelle_granger_ifrc_org/EQjb0_eDzYVMu7igSIw7bmMB_F5WA7rb18aIfLLi5QxHUg?e=yIr3U7" TargetMode="External"/><Relationship Id="rId10" Type="http://schemas.openxmlformats.org/officeDocument/2006/relationships/hyperlink" Target="https://ifrcorg.sharepoint.com/sites/OurIFRC/SitePages/GMM-Compendium.aspx?locale=en-us&amp;inPlaceNav=portals" TargetMode="External"/><Relationship Id="rId19" Type="http://schemas.openxmlformats.org/officeDocument/2006/relationships/hyperlink" Target="https://ifrcorg-my.sharepoint.com/:w:/r/personal/isabelle_granger_ifrc_org/_layouts/15/Doc.aspx?sourcedoc=%7BC28D38D5-9E22-4558-BD9F-FBB2F352F054%7D&amp;file=Model%20Pre-Disaster%20Agreement%20-%2001%20Dec%202020%20FINAL%20(1).docx&amp;action=default&amp;mobileredirect=true&amp;DefaultItemOpen=1" TargetMode="External"/><Relationship Id="rId31" Type="http://schemas.openxmlformats.org/officeDocument/2006/relationships/hyperlink" Target="https://eur02.safelinks.protection.outlook.com/?url=https%3A%2F%2Fifrc.csod.com%2Fui%2Flms-learning-details%2Fapp%2Fcourse%2Fb08875c1-21ae-44e9-843b-b454810eb5bc&amp;data=05%7C01%7Cjennifer.breckenridge%40ifrc.org%7Ccec45389a61e4a33282a08dbbb52c3b1%7Ca2b53be5734e4e6cab0dd184f60fd917%7C0%7C0%7C638309736370663665%7CUnknown%7CTWFpbGZsb3d8eyJWIjoiMC4wLjAwMDAiLCJQIjoiV2luMzIiLCJBTiI6Ik1haWwiLCJXVCI6Mn0%3D%7C3000%7C%7C%7C&amp;sdata=dLwZ5g0bydoNYt7VX5fZsdwZRZ6ERkZSjOy5ya21okg%3D&amp;reserved=0" TargetMode="External"/><Relationship Id="rId44" Type="http://schemas.openxmlformats.org/officeDocument/2006/relationships/hyperlink" Target="https://fednet.ifrc.org/PageFiles/238387/Overview%20of%20Anticipatory%20Action%20for%20IFRC%20Leadership.pdf" TargetMode="External"/><Relationship Id="rId52" Type="http://schemas.openxmlformats.org/officeDocument/2006/relationships/hyperlink" Target="https://fednet.ifrc.org/PageFiles/238387/Overview%20of%20Anticipatory%20Action%20for%20IFRC%20Leadership.pdf" TargetMode="External"/><Relationship Id="rId4" Type="http://schemas.openxmlformats.org/officeDocument/2006/relationships/hyperlink" Target="https://fednet.ifrc.org/en/ourifrc/about-the-federation/ppp/office-opening-and-closing-policy-and-procedure/" TargetMode="External"/><Relationship Id="rId9" Type="http://schemas.openxmlformats.org/officeDocument/2006/relationships/hyperlink" Target="https://fednet.ifrc.org/PageFiles/254428/BCP%20Check%20list.pdf" TargetMode="External"/><Relationship Id="rId14" Type="http://schemas.openxmlformats.org/officeDocument/2006/relationships/hyperlink" Target="https://fednet.ifrc.org/en/ourifrc/about-the-federation/ppp/policy-and-procedure-for-cash-disbursement-and-intra-account-transfers--via-financial-intermediaries/" TargetMode="External"/><Relationship Id="rId22" Type="http://schemas.openxmlformats.org/officeDocument/2006/relationships/hyperlink" Target="https://go.ifrc.org/preparedness/global-summary" TargetMode="External"/><Relationship Id="rId27" Type="http://schemas.openxmlformats.org/officeDocument/2006/relationships/hyperlink" Target="https://smcctoolkit.org/" TargetMode="External"/><Relationship Id="rId30" Type="http://schemas.openxmlformats.org/officeDocument/2006/relationships/hyperlink" Target="https://smcctoolkit.org/" TargetMode="External"/><Relationship Id="rId35" Type="http://schemas.openxmlformats.org/officeDocument/2006/relationships/hyperlink" Target="https://fednet.ifrc.org/PageFiles/212610/209_e_v100_cash%20based%20programming%20CBP%20standard%20operating%20porcedures.pdf" TargetMode="External"/><Relationship Id="rId43" Type="http://schemas.openxmlformats.org/officeDocument/2006/relationships/hyperlink" Target="https://fednet.ifrc.org/FedNet/Our%20IFRC/Procedures%20Database/Procedures/244_e_Forecast%20based%20Action%20Fund%20Procedures.pdf" TargetMode="External"/><Relationship Id="rId48" Type="http://schemas.openxmlformats.org/officeDocument/2006/relationships/hyperlink" Target="https://go.ifrc.org/regions/1" TargetMode="External"/><Relationship Id="rId56" Type="http://schemas.openxmlformats.org/officeDocument/2006/relationships/hyperlink" Target="https://ifrcorg-my.sharepoint.com/:w:/g/personal/isabelle_granger_ifrc_org/EXAdhtrTACpMnxHPJqKecjkBvr8vboFCISe-S98cDvu7TQ?e=C0AjTw" TargetMode="External"/><Relationship Id="rId8" Type="http://schemas.openxmlformats.org/officeDocument/2006/relationships/hyperlink" Target="https://fednet.ifrc.org/PageFiles/254428/2020%20Business%20Continuity%20Planning%20_Final.pdf" TargetMode="External"/><Relationship Id="rId51" Type="http://schemas.openxmlformats.org/officeDocument/2006/relationships/hyperlink" Target="https://fednet.ifrc.org/FedNet/Our%20IFRC/Procedures%20Database/Procedures/244_e_Forecast%20based%20Action%20Fund%20Procedures.pdf" TargetMode="External"/><Relationship Id="rId3" Type="http://schemas.openxmlformats.org/officeDocument/2006/relationships/hyperlink" Target="https://go.ifrc.org/preparedness/global-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739ED1EA0ED4491903CBBB261C2E5" ma:contentTypeVersion="15" ma:contentTypeDescription="Create a new document." ma:contentTypeScope="" ma:versionID="2b6dacf4266880114aabc876a057e451">
  <xsd:schema xmlns:xsd="http://www.w3.org/2001/XMLSchema" xmlns:xs="http://www.w3.org/2001/XMLSchema" xmlns:p="http://schemas.microsoft.com/office/2006/metadata/properties" xmlns:ns3="b64a8dc9-08fd-40c8-8866-5d5e73865c1d" xmlns:ns4="006deef7-9505-4969-90db-535183b5eca8" targetNamespace="http://schemas.microsoft.com/office/2006/metadata/properties" ma:root="true" ma:fieldsID="e017f5d5abe2d737da15014e14fee87c" ns3:_="" ns4:_="">
    <xsd:import namespace="b64a8dc9-08fd-40c8-8866-5d5e73865c1d"/>
    <xsd:import namespace="006deef7-9505-4969-90db-535183b5ec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8dc9-08fd-40c8-8866-5d5e73865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deef7-9505-4969-90db-535183b5ec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4a8dc9-08fd-40c8-8866-5d5e73865c1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6595C-DBE0-463F-B355-DD638E95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a8dc9-08fd-40c8-8866-5d5e73865c1d"/>
    <ds:schemaRef ds:uri="006deef7-9505-4969-90db-535183b5e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7EDBA-DC06-486A-AC96-EA1FC1D6BA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F7B21C-AC76-4387-8D5F-379FD5285F58}">
  <ds:schemaRefs>
    <ds:schemaRef ds:uri="http://schemas.microsoft.com/office/2006/metadata/properties"/>
    <ds:schemaRef ds:uri="http://schemas.microsoft.com/office/infopath/2007/PartnerControls"/>
    <ds:schemaRef ds:uri="b64a8dc9-08fd-40c8-8866-5d5e73865c1d"/>
  </ds:schemaRefs>
</ds:datastoreItem>
</file>

<file path=customXml/itemProps4.xml><?xml version="1.0" encoding="utf-8"?>
<ds:datastoreItem xmlns:ds="http://schemas.openxmlformats.org/officeDocument/2006/customXml" ds:itemID="{65EEE91F-D7FD-459D-995D-098911F35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18120</CharactersWithSpaces>
  <SharedDoc>false</SharedDoc>
  <HLinks>
    <vt:vector size="390" baseType="variant">
      <vt:variant>
        <vt:i4>393308</vt:i4>
      </vt:variant>
      <vt:variant>
        <vt:i4>27</vt:i4>
      </vt:variant>
      <vt:variant>
        <vt:i4>0</vt:i4>
      </vt:variant>
      <vt:variant>
        <vt:i4>5</vt:i4>
      </vt:variant>
      <vt:variant>
        <vt:lpwstr>https://smcctoolkit.org/</vt:lpwstr>
      </vt:variant>
      <vt:variant>
        <vt:lpwstr/>
      </vt:variant>
      <vt:variant>
        <vt:i4>7995407</vt:i4>
      </vt:variant>
      <vt:variant>
        <vt:i4>24</vt:i4>
      </vt:variant>
      <vt:variant>
        <vt:i4>0</vt:i4>
      </vt:variant>
      <vt:variant>
        <vt:i4>5</vt:i4>
      </vt:variant>
      <vt:variant>
        <vt:lpwstr>https://ifrcorg.sharepoint.com/:w:/r/sites/OurIFRC/_layouts/15/Doc.aspx?sourcedoc=%7bF422128A-EAAC-4EC5-9AAD-41CCA63FE08F%7d&amp;file=Guidelines%20on%20the%20New%20Emergency%20Appeal%20Package.docx&amp;action=default&amp;mobileredirect=true</vt:lpwstr>
      </vt:variant>
      <vt:variant>
        <vt:lpwstr/>
      </vt:variant>
      <vt:variant>
        <vt:i4>6225973</vt:i4>
      </vt:variant>
      <vt:variant>
        <vt:i4>21</vt:i4>
      </vt:variant>
      <vt:variant>
        <vt:i4>0</vt:i4>
      </vt:variant>
      <vt:variant>
        <vt:i4>5</vt:i4>
      </vt:variant>
      <vt:variant>
        <vt:lpwstr>https://www.ifrc.org/sites/default/files/2021-06/20200511_DREF_Guidelines_ONLINE-_OPT_FINAL-1.pdf</vt:lpwstr>
      </vt:variant>
      <vt:variant>
        <vt:lpwstr/>
      </vt:variant>
      <vt:variant>
        <vt:i4>393308</vt:i4>
      </vt:variant>
      <vt:variant>
        <vt:i4>18</vt:i4>
      </vt:variant>
      <vt:variant>
        <vt:i4>0</vt:i4>
      </vt:variant>
      <vt:variant>
        <vt:i4>5</vt:i4>
      </vt:variant>
      <vt:variant>
        <vt:lpwstr>https://smcctoolkit.org/</vt:lpwstr>
      </vt:variant>
      <vt:variant>
        <vt:lpwstr/>
      </vt:variant>
      <vt:variant>
        <vt:i4>983112</vt:i4>
      </vt:variant>
      <vt:variant>
        <vt:i4>15</vt:i4>
      </vt:variant>
      <vt:variant>
        <vt:i4>0</vt:i4>
      </vt:variant>
      <vt:variant>
        <vt:i4>5</vt:i4>
      </vt:variant>
      <vt:variant>
        <vt:lpwstr>https://www.ifrc.org/document/seville-agreement-2</vt:lpwstr>
      </vt:variant>
      <vt:variant>
        <vt:lpwstr/>
      </vt:variant>
      <vt:variant>
        <vt:i4>8323160</vt:i4>
      </vt:variant>
      <vt:variant>
        <vt:i4>12</vt:i4>
      </vt:variant>
      <vt:variant>
        <vt:i4>0</vt:i4>
      </vt:variant>
      <vt:variant>
        <vt:i4>5</vt:i4>
      </vt:variant>
      <vt:variant>
        <vt:lpwstr>C:\Users\jennifer.breckenridg\AppData\Local\Microsoft\Windows\INetCache\Content.Outlook\4JJUG1WT\ERF with RACI_ (002).pdf</vt:lpwstr>
      </vt:variant>
      <vt:variant>
        <vt:lpwstr/>
      </vt:variant>
      <vt:variant>
        <vt:i4>7798793</vt:i4>
      </vt:variant>
      <vt:variant>
        <vt:i4>9</vt:i4>
      </vt:variant>
      <vt:variant>
        <vt:i4>0</vt:i4>
      </vt:variant>
      <vt:variant>
        <vt:i4>5</vt:i4>
      </vt:variant>
      <vt:variant>
        <vt:lpwstr>https://www.ifrc.org/sites/default/files/2022-05/20210127_IFRC-DRM-EN%5b1%5d.pdf</vt:lpwstr>
      </vt:variant>
      <vt:variant>
        <vt:lpwstr/>
      </vt:variant>
      <vt:variant>
        <vt:i4>2687012</vt:i4>
      </vt:variant>
      <vt:variant>
        <vt:i4>6</vt:i4>
      </vt:variant>
      <vt:variant>
        <vt:i4>0</vt:i4>
      </vt:variant>
      <vt:variant>
        <vt:i4>5</vt:i4>
      </vt:variant>
      <vt:variant>
        <vt:lpwstr>https://fednet.ifrc.org/FedNet/Resources_and_Services/Disasters/Disaster and crisis management/DM policy and coordination/Revised Principles and Rules 2013.pdf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https://ifrcorg.sharepoint.com/sites/OurIFRC/SitePages/GMM-Compendium.aspx?locale=en-us&amp;inPlaceNav=portals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https://fednet.ifrc.org/PageFiles/255626/259_e_v100_Risk_Management_Policy.pdf</vt:lpwstr>
      </vt:variant>
      <vt:variant>
        <vt:lpwstr/>
      </vt:variant>
      <vt:variant>
        <vt:i4>1310737</vt:i4>
      </vt:variant>
      <vt:variant>
        <vt:i4>162</vt:i4>
      </vt:variant>
      <vt:variant>
        <vt:i4>0</vt:i4>
      </vt:variant>
      <vt:variant>
        <vt:i4>5</vt:i4>
      </vt:variant>
      <vt:variant>
        <vt:lpwstr>C:\Users\jennifer.breckenridg\AppData\Local\Microsoft\Windows\INetCache\Content.Outlook\4JJUG1WT\IFRC - Full Security Management Clauses- Annex B Final.pdf</vt:lpwstr>
      </vt:variant>
      <vt:variant>
        <vt:lpwstr/>
      </vt:variant>
      <vt:variant>
        <vt:i4>4259849</vt:i4>
      </vt:variant>
      <vt:variant>
        <vt:i4>159</vt:i4>
      </vt:variant>
      <vt:variant>
        <vt:i4>0</vt:i4>
      </vt:variant>
      <vt:variant>
        <vt:i4>5</vt:i4>
      </vt:variant>
      <vt:variant>
        <vt:lpwstr>https://ifrcorg-my.sharepoint.com/:w:/g/personal/isabelle_granger_ifrc_org/EdU4jcIinlhFvZ_7svNS8FQBNOEEvhwOV74PiMrPoNW-xg?e=iI4XA5</vt:lpwstr>
      </vt:variant>
      <vt:variant>
        <vt:lpwstr/>
      </vt:variant>
      <vt:variant>
        <vt:i4>589943</vt:i4>
      </vt:variant>
      <vt:variant>
        <vt:i4>156</vt:i4>
      </vt:variant>
      <vt:variant>
        <vt:i4>0</vt:i4>
      </vt:variant>
      <vt:variant>
        <vt:i4>5</vt:i4>
      </vt:variant>
      <vt:variant>
        <vt:lpwstr>https://ifrcorg-my.sharepoint.com/:w:/g/personal/isabelle_granger_ifrc_org/EQjb0_eDzYVMu7igSIw7bmMB_F5WA7rb18aIfLLi5QxHUg?e=yIr3U7</vt:lpwstr>
      </vt:variant>
      <vt:variant>
        <vt:lpwstr/>
      </vt:variant>
      <vt:variant>
        <vt:i4>8060950</vt:i4>
      </vt:variant>
      <vt:variant>
        <vt:i4>153</vt:i4>
      </vt:variant>
      <vt:variant>
        <vt:i4>0</vt:i4>
      </vt:variant>
      <vt:variant>
        <vt:i4>5</vt:i4>
      </vt:variant>
      <vt:variant>
        <vt:lpwstr>https://ifrcorg-my.sharepoint.com/:w:/g/personal/isabelle_granger_ifrc_org/EXAdhtrTACpMnxHPJqKecjkBvr8vboFCISe-S98cDvu7TQ?e=C0AjTw</vt:lpwstr>
      </vt:variant>
      <vt:variant>
        <vt:lpwstr/>
      </vt:variant>
      <vt:variant>
        <vt:i4>4194398</vt:i4>
      </vt:variant>
      <vt:variant>
        <vt:i4>150</vt:i4>
      </vt:variant>
      <vt:variant>
        <vt:i4>0</vt:i4>
      </vt:variant>
      <vt:variant>
        <vt:i4>5</vt:i4>
      </vt:variant>
      <vt:variant>
        <vt:lpwstr>https://ifrc.csod.com/ui/lms-learning-details/app/course/e556e3e6-3863-4b68-a622-d674db19b398</vt:lpwstr>
      </vt:variant>
      <vt:variant>
        <vt:lpwstr/>
      </vt:variant>
      <vt:variant>
        <vt:i4>1376337</vt:i4>
      </vt:variant>
      <vt:variant>
        <vt:i4>147</vt:i4>
      </vt:variant>
      <vt:variant>
        <vt:i4>0</vt:i4>
      </vt:variant>
      <vt:variant>
        <vt:i4>5</vt:i4>
      </vt:variant>
      <vt:variant>
        <vt:lpwstr>https://ifrc.csod.com/ui/lms-learning-details/app/course/1185d7e3-91f6-4ae1-89e2-61518480497f</vt:lpwstr>
      </vt:variant>
      <vt:variant>
        <vt:lpwstr/>
      </vt:variant>
      <vt:variant>
        <vt:i4>5636097</vt:i4>
      </vt:variant>
      <vt:variant>
        <vt:i4>144</vt:i4>
      </vt:variant>
      <vt:variant>
        <vt:i4>0</vt:i4>
      </vt:variant>
      <vt:variant>
        <vt:i4>5</vt:i4>
      </vt:variant>
      <vt:variant>
        <vt:lpwstr>https://fednet.ifrc.org/PageFiles/238387/Anticipatory Pillar of the DREF brochure practice V2 (2).pdf</vt:lpwstr>
      </vt:variant>
      <vt:variant>
        <vt:lpwstr/>
      </vt:variant>
      <vt:variant>
        <vt:i4>6225939</vt:i4>
      </vt:variant>
      <vt:variant>
        <vt:i4>141</vt:i4>
      </vt:variant>
      <vt:variant>
        <vt:i4>0</vt:i4>
      </vt:variant>
      <vt:variant>
        <vt:i4>5</vt:i4>
      </vt:variant>
      <vt:variant>
        <vt:lpwstr>https://fednet.ifrc.org/PageFiles/238387/Overview of Anticipatory Action for IFRC Leadership.pdf</vt:lpwstr>
      </vt:variant>
      <vt:variant>
        <vt:lpwstr/>
      </vt:variant>
      <vt:variant>
        <vt:i4>3342370</vt:i4>
      </vt:variant>
      <vt:variant>
        <vt:i4>138</vt:i4>
      </vt:variant>
      <vt:variant>
        <vt:i4>0</vt:i4>
      </vt:variant>
      <vt:variant>
        <vt:i4>5</vt:i4>
      </vt:variant>
      <vt:variant>
        <vt:lpwstr>https://fednet.ifrc.org/FedNet/Our IFRC/Procedures Database/Procedures/244_e_Forecast based Action Fund Procedures.pdf</vt:lpwstr>
      </vt:variant>
      <vt:variant>
        <vt:lpwstr/>
      </vt:variant>
      <vt:variant>
        <vt:i4>3276835</vt:i4>
      </vt:variant>
      <vt:variant>
        <vt:i4>135</vt:i4>
      </vt:variant>
      <vt:variant>
        <vt:i4>0</vt:i4>
      </vt:variant>
      <vt:variant>
        <vt:i4>5</vt:i4>
      </vt:variant>
      <vt:variant>
        <vt:lpwstr>https://go.ifrc.org/regions/3</vt:lpwstr>
      </vt:variant>
      <vt:variant>
        <vt:lpwstr>risk-watch</vt:lpwstr>
      </vt:variant>
      <vt:variant>
        <vt:i4>3276835</vt:i4>
      </vt:variant>
      <vt:variant>
        <vt:i4>132</vt:i4>
      </vt:variant>
      <vt:variant>
        <vt:i4>0</vt:i4>
      </vt:variant>
      <vt:variant>
        <vt:i4>5</vt:i4>
      </vt:variant>
      <vt:variant>
        <vt:lpwstr>https://go.ifrc.org/regions/4</vt:lpwstr>
      </vt:variant>
      <vt:variant>
        <vt:lpwstr>risk-watch</vt:lpwstr>
      </vt:variant>
      <vt:variant>
        <vt:i4>3276835</vt:i4>
      </vt:variant>
      <vt:variant>
        <vt:i4>129</vt:i4>
      </vt:variant>
      <vt:variant>
        <vt:i4>0</vt:i4>
      </vt:variant>
      <vt:variant>
        <vt:i4>5</vt:i4>
      </vt:variant>
      <vt:variant>
        <vt:lpwstr>https://go.ifrc.org/regions/1</vt:lpwstr>
      </vt:variant>
      <vt:variant>
        <vt:lpwstr>risk-watch</vt:lpwstr>
      </vt:variant>
      <vt:variant>
        <vt:i4>3276835</vt:i4>
      </vt:variant>
      <vt:variant>
        <vt:i4>126</vt:i4>
      </vt:variant>
      <vt:variant>
        <vt:i4>0</vt:i4>
      </vt:variant>
      <vt:variant>
        <vt:i4>5</vt:i4>
      </vt:variant>
      <vt:variant>
        <vt:lpwstr>https://go.ifrc.org/regions/0</vt:lpwstr>
      </vt:variant>
      <vt:variant>
        <vt:lpwstr>risk-watch</vt:lpwstr>
      </vt:variant>
      <vt:variant>
        <vt:i4>3276835</vt:i4>
      </vt:variant>
      <vt:variant>
        <vt:i4>123</vt:i4>
      </vt:variant>
      <vt:variant>
        <vt:i4>0</vt:i4>
      </vt:variant>
      <vt:variant>
        <vt:i4>5</vt:i4>
      </vt:variant>
      <vt:variant>
        <vt:lpwstr>https://go.ifrc.org/regions/2</vt:lpwstr>
      </vt:variant>
      <vt:variant>
        <vt:lpwstr>risk-watch</vt:lpwstr>
      </vt:variant>
      <vt:variant>
        <vt:i4>5636097</vt:i4>
      </vt:variant>
      <vt:variant>
        <vt:i4>120</vt:i4>
      </vt:variant>
      <vt:variant>
        <vt:i4>0</vt:i4>
      </vt:variant>
      <vt:variant>
        <vt:i4>5</vt:i4>
      </vt:variant>
      <vt:variant>
        <vt:lpwstr>https://fednet.ifrc.org/PageFiles/238387/Anticipatory Pillar of the DREF brochure practice V2 (2).pdf</vt:lpwstr>
      </vt:variant>
      <vt:variant>
        <vt:lpwstr/>
      </vt:variant>
      <vt:variant>
        <vt:i4>6225939</vt:i4>
      </vt:variant>
      <vt:variant>
        <vt:i4>117</vt:i4>
      </vt:variant>
      <vt:variant>
        <vt:i4>0</vt:i4>
      </vt:variant>
      <vt:variant>
        <vt:i4>5</vt:i4>
      </vt:variant>
      <vt:variant>
        <vt:lpwstr>https://fednet.ifrc.org/PageFiles/238387/Overview of Anticipatory Action for IFRC Leadership.pdf</vt:lpwstr>
      </vt:variant>
      <vt:variant>
        <vt:lpwstr/>
      </vt:variant>
      <vt:variant>
        <vt:i4>3342370</vt:i4>
      </vt:variant>
      <vt:variant>
        <vt:i4>114</vt:i4>
      </vt:variant>
      <vt:variant>
        <vt:i4>0</vt:i4>
      </vt:variant>
      <vt:variant>
        <vt:i4>5</vt:i4>
      </vt:variant>
      <vt:variant>
        <vt:lpwstr>https://fednet.ifrc.org/FedNet/Our IFRC/Procedures Database/Procedures/244_e_Forecast based Action Fund Procedures.pdf</vt:lpwstr>
      </vt:variant>
      <vt:variant>
        <vt:lpwstr/>
      </vt:variant>
      <vt:variant>
        <vt:i4>6553726</vt:i4>
      </vt:variant>
      <vt:variant>
        <vt:i4>111</vt:i4>
      </vt:variant>
      <vt:variant>
        <vt:i4>0</vt:i4>
      </vt:variant>
      <vt:variant>
        <vt:i4>5</vt:i4>
      </vt:variant>
      <vt:variant>
        <vt:lpwstr>https://eur02.safelinks.protection.outlook.com/?url=https%3A%2F%2Fkayaconnect.org%2Fcourse%2Finfo.php%3Fid%3D1449&amp;data=05%7C01%7Cjennifer.breckenridge%40ifrc.org%7Ccec45389a61e4a33282a08dbbb52c3b1%7Ca2b53be5734e4e6cab0dd184f60fd917%7C0%7C0%7C638309736370663665%7CUnknown%7CTWFpbGZsb3d8eyJWIjoiMC4wLjAwMDAiLCJQIjoiV2luMzIiLCJBTiI6Ik1haWwiLCJXVCI6Mn0%3D%7C3000%7C%7C%7C&amp;sdata=%2FpoQCL0JRJsctM%2B7n3Q38Ci3faIccYxefT7dYtBvnXY%3D&amp;reserved=0</vt:lpwstr>
      </vt:variant>
      <vt:variant>
        <vt:lpwstr/>
      </vt:variant>
      <vt:variant>
        <vt:i4>6750320</vt:i4>
      </vt:variant>
      <vt:variant>
        <vt:i4>108</vt:i4>
      </vt:variant>
      <vt:variant>
        <vt:i4>0</vt:i4>
      </vt:variant>
      <vt:variant>
        <vt:i4>5</vt:i4>
      </vt:variant>
      <vt:variant>
        <vt:lpwstr>https://eur02.safelinks.protection.outlook.com/?url=https%3A%2F%2Fkayaconnect.org%2Fcourse%2Finfo.php%3Fid%3D2546&amp;data=05%7C01%7Cjennifer.breckenridge%40ifrc.org%7Ccec45389a61e4a33282a08dbbb52c3b1%7Ca2b53be5734e4e6cab0dd184f60fd917%7C0%7C0%7C638309736370663665%7CUnknown%7CTWFpbGZsb3d8eyJWIjoiMC4wLjAwMDAiLCJQIjoiV2luMzIiLCJBTiI6Ik1haWwiLCJXVCI6Mn0%3D%7C3000%7C%7C%7C&amp;sdata=azMGSVVlrHk65QitF8FJIpyLLQT3QTS9p8Uw3XEEZgY%3D&amp;reserved=0</vt:lpwstr>
      </vt:variant>
      <vt:variant>
        <vt:lpwstr/>
      </vt:variant>
      <vt:variant>
        <vt:i4>6422566</vt:i4>
      </vt:variant>
      <vt:variant>
        <vt:i4>105</vt:i4>
      </vt:variant>
      <vt:variant>
        <vt:i4>0</vt:i4>
      </vt:variant>
      <vt:variant>
        <vt:i4>5</vt:i4>
      </vt:variant>
      <vt:variant>
        <vt:lpwstr>https://eur02.safelinks.protection.outlook.com/?url=https%3A%2F%2Fifrc.csod.com%2Fui%2Flms-learning-details%2Fapp%2Fcurriculum%2Fe095751e-53d5-4e26-9f66-ee1db2c65e5d&amp;data=05%7C01%7Cjennifer.breckenridge%40ifrc.org%7Ccec45389a61e4a33282a08dbbb52c3b1%7Ca2b53be5734e4e6cab0dd184f60fd917%7C0%7C0%7C638309736370663665%7CUnknown%7CTWFpbGZsb3d8eyJWIjoiMC4wLjAwMDAiLCJQIjoiV2luMzIiLCJBTiI6Ik1haWwiLCJXVCI6Mn0%3D%7C3000%7C%7C%7C&amp;sdata=j2BqXcj%2BRi1Fu8ded8rkcCjgspzfoG1piSBJD9OGJtY%3D&amp;reserved=0</vt:lpwstr>
      </vt:variant>
      <vt:variant>
        <vt:lpwstr/>
      </vt:variant>
      <vt:variant>
        <vt:i4>7602283</vt:i4>
      </vt:variant>
      <vt:variant>
        <vt:i4>102</vt:i4>
      </vt:variant>
      <vt:variant>
        <vt:i4>0</vt:i4>
      </vt:variant>
      <vt:variant>
        <vt:i4>5</vt:i4>
      </vt:variant>
      <vt:variant>
        <vt:lpwstr>https://eur02.safelinks.protection.outlook.com/?url=https%3A%2F%2Fifrc.csod.com%2Fui%2Flms-learning-details%2Fapp%2Fcourse%2Fb08875c1-21ae-44e9-843b-b454810eb5bc&amp;data=05%7C01%7Cjennifer.breckenridge%40ifrc.org%7Ccec45389a61e4a33282a08dbbb52c3b1%7Ca2b53be5734e4e6cab0dd184f60fd917%7C0%7C0%7C638309736370663665%7CUnknown%7CTWFpbGZsb3d8eyJWIjoiMC4wLjAwMDAiLCJQIjoiV2luMzIiLCJBTiI6Ik1haWwiLCJXVCI6Mn0%3D%7C3000%7C%7C%7C&amp;sdata=dLwZ5g0bydoNYt7VX5fZsdwZRZ6ERkZSjOy5ya21okg%3D&amp;reserved=0</vt:lpwstr>
      </vt:variant>
      <vt:variant>
        <vt:lpwstr/>
      </vt:variant>
      <vt:variant>
        <vt:i4>2621547</vt:i4>
      </vt:variant>
      <vt:variant>
        <vt:i4>99</vt:i4>
      </vt:variant>
      <vt:variant>
        <vt:i4>0</vt:i4>
      </vt:variant>
      <vt:variant>
        <vt:i4>5</vt:i4>
      </vt:variant>
      <vt:variant>
        <vt:lpwstr>https://eur02.safelinks.protection.outlook.com/?url=https%3A%2F%2Fifrc.csod.com%2Fui%2Flms-learning-details%2Fapp%2Fcourse%2F86fe4df6-0491-44ea-9aea-0a5ff7c90f65&amp;data=05%7C01%7Cjennifer.breckenridge%40ifrc.org%7Ccec45389a61e4a33282a08dbbb52c3b1%7Ca2b53be5734e4e6cab0dd184f60fd917%7C0%7C0%7C638309736370663665%7CUnknown%7CTWFpbGZsb3d8eyJWIjoiMC4wLjAwMDAiLCJQIjoiV2luMzIiLCJBTiI6Ik1haWwiLCJXVCI6Mn0%3D%7C3000%7C%7C%7C&amp;sdata=P%2Bv2iaZoKMFF7WbB8nK%2BvrOOtkRpKp89G5wf8HyEgjE%3D&amp;reserved=0</vt:lpwstr>
      </vt:variant>
      <vt:variant>
        <vt:lpwstr/>
      </vt:variant>
      <vt:variant>
        <vt:i4>5242923</vt:i4>
      </vt:variant>
      <vt:variant>
        <vt:i4>96</vt:i4>
      </vt:variant>
      <vt:variant>
        <vt:i4>0</vt:i4>
      </vt:variant>
      <vt:variant>
        <vt:i4>5</vt:i4>
      </vt:variant>
      <vt:variant>
        <vt:lpwstr>https://fednet.ifrc.org/PageFiles/212129/207_e_v100_Cash Based Programming Financial Procedures.pdf</vt:lpwstr>
      </vt:variant>
      <vt:variant>
        <vt:lpwstr/>
      </vt:variant>
      <vt:variant>
        <vt:i4>6488067</vt:i4>
      </vt:variant>
      <vt:variant>
        <vt:i4>93</vt:i4>
      </vt:variant>
      <vt:variant>
        <vt:i4>0</vt:i4>
      </vt:variant>
      <vt:variant>
        <vt:i4>5</vt:i4>
      </vt:variant>
      <vt:variant>
        <vt:lpwstr>https://fednet.ifrc.org/PageFiles/212610/209_e_v100_cash based programming CBP standard operating porcedures.pdf</vt:lpwstr>
      </vt:variant>
      <vt:variant>
        <vt:lpwstr/>
      </vt:variant>
      <vt:variant>
        <vt:i4>655445</vt:i4>
      </vt:variant>
      <vt:variant>
        <vt:i4>90</vt:i4>
      </vt:variant>
      <vt:variant>
        <vt:i4>0</vt:i4>
      </vt:variant>
      <vt:variant>
        <vt:i4>5</vt:i4>
      </vt:variant>
      <vt:variant>
        <vt:lpwstr>https://smcctoolkit.org/wp-content/uploads/2023/07/MCA-Template-Version-2023-English.docx</vt:lpwstr>
      </vt:variant>
      <vt:variant>
        <vt:lpwstr/>
      </vt:variant>
      <vt:variant>
        <vt:i4>393308</vt:i4>
      </vt:variant>
      <vt:variant>
        <vt:i4>87</vt:i4>
      </vt:variant>
      <vt:variant>
        <vt:i4>0</vt:i4>
      </vt:variant>
      <vt:variant>
        <vt:i4>5</vt:i4>
      </vt:variant>
      <vt:variant>
        <vt:lpwstr>https://smcctoolkit.org/</vt:lpwstr>
      </vt:variant>
      <vt:variant>
        <vt:lpwstr/>
      </vt:variant>
      <vt:variant>
        <vt:i4>983112</vt:i4>
      </vt:variant>
      <vt:variant>
        <vt:i4>84</vt:i4>
      </vt:variant>
      <vt:variant>
        <vt:i4>0</vt:i4>
      </vt:variant>
      <vt:variant>
        <vt:i4>5</vt:i4>
      </vt:variant>
      <vt:variant>
        <vt:lpwstr>https://www.ifrc.org/document/seville-agreement-2</vt:lpwstr>
      </vt:variant>
      <vt:variant>
        <vt:lpwstr/>
      </vt:variant>
      <vt:variant>
        <vt:i4>5570618</vt:i4>
      </vt:variant>
      <vt:variant>
        <vt:i4>81</vt:i4>
      </vt:variant>
      <vt:variant>
        <vt:i4>0</vt:i4>
      </vt:variant>
      <vt:variant>
        <vt:i4>5</vt:i4>
      </vt:variant>
      <vt:variant>
        <vt:lpwstr>C:\Users\jennifer.breckenridg\AppData\Local\Microsoft\Windows\INetCache\Content.Outlook\4JJUG1WT\Country support mechanisms_revised 2022.pdf</vt:lpwstr>
      </vt:variant>
      <vt:variant>
        <vt:lpwstr/>
      </vt:variant>
      <vt:variant>
        <vt:i4>393308</vt:i4>
      </vt:variant>
      <vt:variant>
        <vt:i4>78</vt:i4>
      </vt:variant>
      <vt:variant>
        <vt:i4>0</vt:i4>
      </vt:variant>
      <vt:variant>
        <vt:i4>5</vt:i4>
      </vt:variant>
      <vt:variant>
        <vt:lpwstr>https://smcctoolkit.org/</vt:lpwstr>
      </vt:variant>
      <vt:variant>
        <vt:lpwstr/>
      </vt:variant>
      <vt:variant>
        <vt:i4>983112</vt:i4>
      </vt:variant>
      <vt:variant>
        <vt:i4>75</vt:i4>
      </vt:variant>
      <vt:variant>
        <vt:i4>0</vt:i4>
      </vt:variant>
      <vt:variant>
        <vt:i4>5</vt:i4>
      </vt:variant>
      <vt:variant>
        <vt:lpwstr>https://www.ifrc.org/document/seville-agreement-2</vt:lpwstr>
      </vt:variant>
      <vt:variant>
        <vt:lpwstr/>
      </vt:variant>
      <vt:variant>
        <vt:i4>589921</vt:i4>
      </vt:variant>
      <vt:variant>
        <vt:i4>72</vt:i4>
      </vt:variant>
      <vt:variant>
        <vt:i4>0</vt:i4>
      </vt:variant>
      <vt:variant>
        <vt:i4>5</vt:i4>
      </vt:variant>
      <vt:variant>
        <vt:lpwstr>https://ifrcorg.sharepoint.com/:b:/r/sites/OurIFRC/GMM_Compendium/Key Texts/IFRC Secretariat Strategic Plan - An agenda for Renewal.pdf?csf=1&amp;web=1&amp;e=La2Cz2</vt:lpwstr>
      </vt:variant>
      <vt:variant>
        <vt:lpwstr/>
      </vt:variant>
      <vt:variant>
        <vt:i4>3539062</vt:i4>
      </vt:variant>
      <vt:variant>
        <vt:i4>69</vt:i4>
      </vt:variant>
      <vt:variant>
        <vt:i4>0</vt:i4>
      </vt:variant>
      <vt:variant>
        <vt:i4>5</vt:i4>
      </vt:variant>
      <vt:variant>
        <vt:lpwstr>https://www.ifrc.org/sites/default/files/2021-08/1220900-CPG 2012-EN-LR.pdf</vt:lpwstr>
      </vt:variant>
      <vt:variant>
        <vt:lpwstr/>
      </vt:variant>
      <vt:variant>
        <vt:i4>3801146</vt:i4>
      </vt:variant>
      <vt:variant>
        <vt:i4>66</vt:i4>
      </vt:variant>
      <vt:variant>
        <vt:i4>0</vt:i4>
      </vt:variant>
      <vt:variant>
        <vt:i4>5</vt:i4>
      </vt:variant>
      <vt:variant>
        <vt:lpwstr>https://go.ifrc.org/preparedness/global-summary</vt:lpwstr>
      </vt:variant>
      <vt:variant>
        <vt:lpwstr/>
      </vt:variant>
      <vt:variant>
        <vt:i4>2097256</vt:i4>
      </vt:variant>
      <vt:variant>
        <vt:i4>63</vt:i4>
      </vt:variant>
      <vt:variant>
        <vt:i4>0</vt:i4>
      </vt:variant>
      <vt:variant>
        <vt:i4>5</vt:i4>
      </vt:variant>
      <vt:variant>
        <vt:lpwstr>https://www.ifrc.org/document/preparedness-effective-response-leaflet-and-case-studies</vt:lpwstr>
      </vt:variant>
      <vt:variant>
        <vt:lpwstr/>
      </vt:variant>
      <vt:variant>
        <vt:i4>1441871</vt:i4>
      </vt:variant>
      <vt:variant>
        <vt:i4>60</vt:i4>
      </vt:variant>
      <vt:variant>
        <vt:i4>0</vt:i4>
      </vt:variant>
      <vt:variant>
        <vt:i4>5</vt:i4>
      </vt:variant>
      <vt:variant>
        <vt:lpwstr>https://www.ifrc.org/our-work/disasters-climate-and-crises/disaster-preparedness</vt:lpwstr>
      </vt:variant>
      <vt:variant>
        <vt:lpwstr/>
      </vt:variant>
      <vt:variant>
        <vt:i4>1376337</vt:i4>
      </vt:variant>
      <vt:variant>
        <vt:i4>57</vt:i4>
      </vt:variant>
      <vt:variant>
        <vt:i4>0</vt:i4>
      </vt:variant>
      <vt:variant>
        <vt:i4>5</vt:i4>
      </vt:variant>
      <vt:variant>
        <vt:lpwstr>https://ifrc.csod.com/ui/lms-learning-details/app/course/1185d7e3-91f6-4ae1-89e2-61518480497f</vt:lpwstr>
      </vt:variant>
      <vt:variant>
        <vt:lpwstr/>
      </vt:variant>
      <vt:variant>
        <vt:i4>6553625</vt:i4>
      </vt:variant>
      <vt:variant>
        <vt:i4>54</vt:i4>
      </vt:variant>
      <vt:variant>
        <vt:i4>0</vt:i4>
      </vt:variant>
      <vt:variant>
        <vt:i4>5</vt:i4>
      </vt:variant>
      <vt:variant>
        <vt:lpwstr>https://fednet.ifrc.org/FedNet/Our IFRC/Procedures Database/097_e_v200_warehouse manual.pdf</vt:lpwstr>
      </vt:variant>
      <vt:variant>
        <vt:lpwstr/>
      </vt:variant>
      <vt:variant>
        <vt:i4>7208967</vt:i4>
      </vt:variant>
      <vt:variant>
        <vt:i4>51</vt:i4>
      </vt:variant>
      <vt:variant>
        <vt:i4>0</vt:i4>
      </vt:variant>
      <vt:variant>
        <vt:i4>5</vt:i4>
      </vt:variant>
      <vt:variant>
        <vt:lpwstr>https://fednet.ifrc.org/FedNet/Our IFRC/Procedures Database/098_e_v200_fleet manual.pdf</vt:lpwstr>
      </vt:variant>
      <vt:variant>
        <vt:lpwstr/>
      </vt:variant>
      <vt:variant>
        <vt:i4>3014683</vt:i4>
      </vt:variant>
      <vt:variant>
        <vt:i4>48</vt:i4>
      </vt:variant>
      <vt:variant>
        <vt:i4>0</vt:i4>
      </vt:variant>
      <vt:variant>
        <vt:i4>5</vt:i4>
      </vt:variant>
      <vt:variant>
        <vt:lpwstr>https://fednet.ifrc.org/FedNet/Our IFRC/Procedures Database/Procedures/092_e_v300_Procurement Manual.pdf</vt:lpwstr>
      </vt:variant>
      <vt:variant>
        <vt:lpwstr/>
      </vt:variant>
      <vt:variant>
        <vt:i4>4784161</vt:i4>
      </vt:variant>
      <vt:variant>
        <vt:i4>45</vt:i4>
      </vt:variant>
      <vt:variant>
        <vt:i4>0</vt:i4>
      </vt:variant>
      <vt:variant>
        <vt:i4>5</vt:i4>
      </vt:variant>
      <vt:variant>
        <vt:lpwstr>https://surgelearning.ifrc.org/sites/default/files/media/document/2022-12/minimum-pre-training-required-for-ifrc-rapid-response-deployments-and-trainings-2022-dec_0.pdf</vt:lpwstr>
      </vt:variant>
      <vt:variant>
        <vt:lpwstr/>
      </vt:variant>
      <vt:variant>
        <vt:i4>589889</vt:i4>
      </vt:variant>
      <vt:variant>
        <vt:i4>42</vt:i4>
      </vt:variant>
      <vt:variant>
        <vt:i4>0</vt:i4>
      </vt:variant>
      <vt:variant>
        <vt:i4>5</vt:i4>
      </vt:variant>
      <vt:variant>
        <vt:lpwstr>https://fednet.ifrc.org/en/ourifrc/about-the-federation/ppp/policy-and-procedure-for-cash-disbursement-and-intra-account-transfers--via-financial-intermediaries/</vt:lpwstr>
      </vt:variant>
      <vt:variant>
        <vt:lpwstr/>
      </vt:variant>
      <vt:variant>
        <vt:i4>5439561</vt:i4>
      </vt:variant>
      <vt:variant>
        <vt:i4>39</vt:i4>
      </vt:variant>
      <vt:variant>
        <vt:i4>0</vt:i4>
      </vt:variant>
      <vt:variant>
        <vt:i4>5</vt:i4>
      </vt:variant>
      <vt:variant>
        <vt:lpwstr>https://fednet.ifrc.org/en/ourifrc/about-the-federation/ppp/cash-management-policy-and-procedure/</vt:lpwstr>
      </vt:variant>
      <vt:variant>
        <vt:lpwstr/>
      </vt:variant>
      <vt:variant>
        <vt:i4>1703942</vt:i4>
      </vt:variant>
      <vt:variant>
        <vt:i4>36</vt:i4>
      </vt:variant>
      <vt:variant>
        <vt:i4>0</vt:i4>
      </vt:variant>
      <vt:variant>
        <vt:i4>5</vt:i4>
      </vt:variant>
      <vt:variant>
        <vt:lpwstr>https://fednet.ifrc.org/en/ourifrc/about-the-federation/ppp/banking-and-currency/</vt:lpwstr>
      </vt:variant>
      <vt:variant>
        <vt:lpwstr/>
      </vt:variant>
      <vt:variant>
        <vt:i4>3539066</vt:i4>
      </vt:variant>
      <vt:variant>
        <vt:i4>33</vt:i4>
      </vt:variant>
      <vt:variant>
        <vt:i4>0</vt:i4>
      </vt:variant>
      <vt:variant>
        <vt:i4>5</vt:i4>
      </vt:variant>
      <vt:variant>
        <vt:lpwstr>https://eur02.safelinks.protection.outlook.com/?url=https%3A%2F%2Fifrcorg.sharepoint.com%2Fsites%2FDataProtectionToolkit2%3FOR%3DTeams-HL%26CT%3D1675265319262&amp;data=05%7C01%7Cjennifer.breckenridge%40ifrc.org%7Cc420a2dd80054830e93808dbb2c2275c%7Ca2b53be5734e4e6cab0dd184f60fd917%7C0%7C0%7C638300319177528709%7CUnknown%7CTWFpbGZsb3d8eyJWIjoiMC4wLjAwMDAiLCJQIjoiV2luMzIiLCJBTiI6Ik1haWwiLCJXVCI6Mn0%3D%7C3000%7C%7C%7C&amp;sdata=vINLA54e4O51XYK48F%2BNMKJJ1qYALFMPy8lhjiQc0uA%3D&amp;reserved=0</vt:lpwstr>
      </vt:variant>
      <vt:variant>
        <vt:lpwstr/>
      </vt:variant>
      <vt:variant>
        <vt:i4>6357107</vt:i4>
      </vt:variant>
      <vt:variant>
        <vt:i4>30</vt:i4>
      </vt:variant>
      <vt:variant>
        <vt:i4>0</vt:i4>
      </vt:variant>
      <vt:variant>
        <vt:i4>5</vt:i4>
      </vt:variant>
      <vt:variant>
        <vt:lpwstr>https://ifrcorg.sharepoint.com/sites/OurIFRC/SitePages/GMM-Compendium.aspx?locale=en-us&amp;inPlaceNav=portals</vt:lpwstr>
      </vt:variant>
      <vt:variant>
        <vt:lpwstr/>
      </vt:variant>
      <vt:variant>
        <vt:i4>3276916</vt:i4>
      </vt:variant>
      <vt:variant>
        <vt:i4>27</vt:i4>
      </vt:variant>
      <vt:variant>
        <vt:i4>0</vt:i4>
      </vt:variant>
      <vt:variant>
        <vt:i4>5</vt:i4>
      </vt:variant>
      <vt:variant>
        <vt:lpwstr>https://fednet.ifrc.org/PageFiles/254428/BCP Check list.pdf</vt:lpwstr>
      </vt:variant>
      <vt:variant>
        <vt:lpwstr/>
      </vt:variant>
      <vt:variant>
        <vt:i4>6684701</vt:i4>
      </vt:variant>
      <vt:variant>
        <vt:i4>24</vt:i4>
      </vt:variant>
      <vt:variant>
        <vt:i4>0</vt:i4>
      </vt:variant>
      <vt:variant>
        <vt:i4>5</vt:i4>
      </vt:variant>
      <vt:variant>
        <vt:lpwstr>https://fednet.ifrc.org/PageFiles/254428/2020 Business Continuity Planning _Final.pdf</vt:lpwstr>
      </vt:variant>
      <vt:variant>
        <vt:lpwstr/>
      </vt:variant>
      <vt:variant>
        <vt:i4>3014698</vt:i4>
      </vt:variant>
      <vt:variant>
        <vt:i4>21</vt:i4>
      </vt:variant>
      <vt:variant>
        <vt:i4>0</vt:i4>
      </vt:variant>
      <vt:variant>
        <vt:i4>5</vt:i4>
      </vt:variant>
      <vt:variant>
        <vt:lpwstr>https://ifrcstaysafe.org/stay-safe-e-course</vt:lpwstr>
      </vt:variant>
      <vt:variant>
        <vt:lpwstr/>
      </vt:variant>
      <vt:variant>
        <vt:i4>655452</vt:i4>
      </vt:variant>
      <vt:variant>
        <vt:i4>18</vt:i4>
      </vt:variant>
      <vt:variant>
        <vt:i4>0</vt:i4>
      </vt:variant>
      <vt:variant>
        <vt:i4>5</vt:i4>
      </vt:variant>
      <vt:variant>
        <vt:lpwstr>https://ifrcstaysafe.org/msr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>https://ifrc.csod.com/ui/lms-learning-details/app/curriculum/614fed64-8b9b-4e7c-a8bb-da3b71552b7f</vt:lpwstr>
      </vt:variant>
      <vt:variant>
        <vt:lpwstr/>
      </vt:variant>
      <vt:variant>
        <vt:i4>3407881</vt:i4>
      </vt:variant>
      <vt:variant>
        <vt:i4>12</vt:i4>
      </vt:variant>
      <vt:variant>
        <vt:i4>0</vt:i4>
      </vt:variant>
      <vt:variant>
        <vt:i4>5</vt:i4>
      </vt:variant>
      <vt:variant>
        <vt:lpwstr>https://fednet.ifrc.org/FedNet/Our IFRC/Procedures Database/Procedures/228_e_attach1_opening checklist.pdf</vt:lpwstr>
      </vt:variant>
      <vt:variant>
        <vt:lpwstr/>
      </vt:variant>
      <vt:variant>
        <vt:i4>5242883</vt:i4>
      </vt:variant>
      <vt:variant>
        <vt:i4>9</vt:i4>
      </vt:variant>
      <vt:variant>
        <vt:i4>0</vt:i4>
      </vt:variant>
      <vt:variant>
        <vt:i4>5</vt:i4>
      </vt:variant>
      <vt:variant>
        <vt:lpwstr>https://fednet.ifrc.org/en/ourifrc/about-the-federation/ppp/office-opening-and-closing-policy-and-procedure/</vt:lpwstr>
      </vt:variant>
      <vt:variant>
        <vt:lpwstr/>
      </vt:variant>
      <vt:variant>
        <vt:i4>3801146</vt:i4>
      </vt:variant>
      <vt:variant>
        <vt:i4>6</vt:i4>
      </vt:variant>
      <vt:variant>
        <vt:i4>0</vt:i4>
      </vt:variant>
      <vt:variant>
        <vt:i4>5</vt:i4>
      </vt:variant>
      <vt:variant>
        <vt:lpwstr>https://go.ifrc.org/preparedness/global-summary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https://www.ifrc.org/document/preparedness-effective-response-leaflet-and-case-studies</vt:lpwstr>
      </vt:variant>
      <vt:variant>
        <vt:lpwstr/>
      </vt:variant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https://www.ifrc.org/our-work/disasters-climate-and-crises/disaster-preparedness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 Saikia</dc:creator>
  <cp:keywords/>
  <dc:description/>
  <cp:lastModifiedBy>Jennifer BRECKENRIDGE</cp:lastModifiedBy>
  <cp:revision>6</cp:revision>
  <dcterms:created xsi:type="dcterms:W3CDTF">2024-11-25T13:12:00Z</dcterms:created>
  <dcterms:modified xsi:type="dcterms:W3CDTF">2024-11-25T13:16:00Z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79dc39dd,5d21048a,6c17b71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</vt:lpwstr>
  </property>
  <property fmtid="{D5CDD505-2E9C-101B-9397-08002B2CF9AE}" pid="5" name="MSIP_Label_60843f49-ba84-4571-b1b5-bbf501ecdde5_Enabled">
    <vt:lpwstr>true</vt:lpwstr>
  </property>
  <property fmtid="{D5CDD505-2E9C-101B-9397-08002B2CF9AE}" pid="6" name="MSIP_Label_60843f49-ba84-4571-b1b5-bbf501ecdde5_SetDate">
    <vt:lpwstr>2024-03-01T12:57:12Z</vt:lpwstr>
  </property>
  <property fmtid="{D5CDD505-2E9C-101B-9397-08002B2CF9AE}" pid="7" name="MSIP_Label_60843f49-ba84-4571-b1b5-bbf501ecdde5_Method">
    <vt:lpwstr>Privileged</vt:lpwstr>
  </property>
  <property fmtid="{D5CDD505-2E9C-101B-9397-08002B2CF9AE}" pid="8" name="MSIP_Label_60843f49-ba84-4571-b1b5-bbf501ecdde5_Name">
    <vt:lpwstr>Red Cross - Red Crescent Internal</vt:lpwstr>
  </property>
  <property fmtid="{D5CDD505-2E9C-101B-9397-08002B2CF9AE}" pid="9" name="MSIP_Label_60843f49-ba84-4571-b1b5-bbf501ecdde5_SiteId">
    <vt:lpwstr>a2b53be5-734e-4e6c-ab0d-d184f60fd917</vt:lpwstr>
  </property>
  <property fmtid="{D5CDD505-2E9C-101B-9397-08002B2CF9AE}" pid="10" name="MSIP_Label_60843f49-ba84-4571-b1b5-bbf501ecdde5_ActionId">
    <vt:lpwstr>11f0b461-46f5-4c81-959b-4545caa8ba45</vt:lpwstr>
  </property>
  <property fmtid="{D5CDD505-2E9C-101B-9397-08002B2CF9AE}" pid="11" name="MSIP_Label_60843f49-ba84-4571-b1b5-bbf501ecdde5_ContentBits">
    <vt:lpwstr>2</vt:lpwstr>
  </property>
  <property fmtid="{D5CDD505-2E9C-101B-9397-08002B2CF9AE}" pid="12" name="ContentTypeId">
    <vt:lpwstr>0x0101002A3739ED1EA0ED4491903CBBB261C2E5</vt:lpwstr>
  </property>
</Properties>
</file>